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550FD" w14:textId="59940F50" w:rsidR="00404ECB" w:rsidRPr="00891988" w:rsidRDefault="00404ECB" w:rsidP="00404ECB">
      <w:pPr>
        <w:tabs>
          <w:tab w:val="left" w:pos="2868"/>
        </w:tabs>
        <w:spacing w:after="120"/>
        <w:ind w:left="1021" w:hanging="1021"/>
        <w:rPr>
          <w:rFonts w:cs="Arial"/>
          <w:b/>
          <w:bCs/>
          <w:szCs w:val="24"/>
        </w:rPr>
      </w:pPr>
      <w:r w:rsidRPr="00891988">
        <w:rPr>
          <w:rFonts w:cs="Arial"/>
          <w:szCs w:val="24"/>
        </w:rPr>
        <w:t>Oggetto:</w:t>
      </w:r>
      <w:r w:rsidRPr="00891988">
        <w:rPr>
          <w:rFonts w:cs="Arial"/>
          <w:b/>
          <w:szCs w:val="24"/>
        </w:rPr>
        <w:t xml:space="preserve"> </w:t>
      </w:r>
      <w:r w:rsidR="0011181A">
        <w:rPr>
          <w:rFonts w:cs="Arial"/>
          <w:b/>
          <w:bCs/>
          <w:szCs w:val="24"/>
        </w:rPr>
        <w:t>d</w:t>
      </w:r>
      <w:r w:rsidR="0011181A" w:rsidRPr="0011181A">
        <w:rPr>
          <w:rFonts w:cs="Arial"/>
          <w:b/>
          <w:bCs/>
          <w:szCs w:val="24"/>
        </w:rPr>
        <w:t>isposizioni urgenti in materia di salario giusto, di incentivi all'occupazione e di contrasto del caporalato digitale</w:t>
      </w:r>
      <w:r w:rsidR="0011181A">
        <w:rPr>
          <w:rFonts w:cs="Arial"/>
          <w:b/>
          <w:bCs/>
          <w:szCs w:val="24"/>
        </w:rPr>
        <w:t xml:space="preserve"> – decreto-legge 30 aprile 2026, n. 62 (Gazzetta ufficiale 30 aprile 2026, n. 99)</w:t>
      </w:r>
    </w:p>
    <w:p w14:paraId="408DE65A" w14:textId="368F9A77" w:rsidR="007809AB" w:rsidRPr="007809AB" w:rsidRDefault="001D5759" w:rsidP="007809AB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È stato pubblicato il decreto-legge recante “D</w:t>
      </w:r>
      <w:r w:rsidR="007809AB" w:rsidRPr="007809AB">
        <w:rPr>
          <w:rFonts w:cs="Arial"/>
          <w:bCs/>
          <w:szCs w:val="24"/>
        </w:rPr>
        <w:t>isposizioni urgenti in materia di salario giusto, incentivi all’occupazione e contrasto del caporalato digitale</w:t>
      </w:r>
      <w:r>
        <w:rPr>
          <w:rFonts w:cs="Arial"/>
          <w:bCs/>
          <w:szCs w:val="24"/>
        </w:rPr>
        <w:t>”</w:t>
      </w:r>
      <w:r w:rsidR="007809AB" w:rsidRPr="007809AB">
        <w:rPr>
          <w:rFonts w:cs="Arial"/>
          <w:bCs/>
          <w:szCs w:val="24"/>
        </w:rPr>
        <w:t xml:space="preserve">. </w:t>
      </w:r>
    </w:p>
    <w:p w14:paraId="19C8D8A2" w14:textId="492B87FB" w:rsidR="0067343A" w:rsidRDefault="0067343A" w:rsidP="0067343A">
      <w:pPr>
        <w:spacing w:after="120"/>
        <w:rPr>
          <w:rFonts w:cs="Arial"/>
          <w:bCs/>
          <w:szCs w:val="24"/>
        </w:rPr>
      </w:pPr>
      <w:r w:rsidRPr="007809AB">
        <w:rPr>
          <w:rFonts w:cs="Arial"/>
          <w:bCs/>
          <w:szCs w:val="24"/>
        </w:rPr>
        <w:t>Il decreto interviene su ambiti diversi ma tra loro connessi: assunzioni e stabilizzazioni, applicazione dei contratti collettivi, trattamenti retributivi, flussi informativi, dati salariali e utilizzo di strumenti digitali nell’organizzazione del lavoro.</w:t>
      </w:r>
      <w:r>
        <w:rPr>
          <w:rFonts w:cs="Arial"/>
          <w:bCs/>
          <w:szCs w:val="24"/>
        </w:rPr>
        <w:t xml:space="preserve"> </w:t>
      </w:r>
    </w:p>
    <w:p w14:paraId="1ECAEA75" w14:textId="59AFD68E" w:rsidR="007809AB" w:rsidRDefault="0067343A" w:rsidP="0067343A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In particolare, le disposizioni in materia di salario giusto, applicazione della contrattazione collettiva e trasparenza retributiva rivestono </w:t>
      </w:r>
      <w:r w:rsidR="001457CC">
        <w:rPr>
          <w:rFonts w:cs="Arial"/>
          <w:bCs/>
          <w:szCs w:val="24"/>
        </w:rPr>
        <w:t>rilevante</w:t>
      </w:r>
      <w:r>
        <w:rPr>
          <w:rFonts w:cs="Arial"/>
          <w:bCs/>
          <w:szCs w:val="24"/>
        </w:rPr>
        <w:t xml:space="preserve"> interesse sotto l’aspetto della lotta al dumping contrattuale e per la promozione della contrattazione collettiva leader.</w:t>
      </w:r>
    </w:p>
    <w:p w14:paraId="22539AAE" w14:textId="638CD46E" w:rsidR="002135FE" w:rsidRPr="007809AB" w:rsidRDefault="002135FE" w:rsidP="0067343A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Di seguito si fornisce un quadro riassuntivo delle disposizioni di più immediato interesse per le imprese del settore.</w:t>
      </w:r>
    </w:p>
    <w:p w14:paraId="04CCCECE" w14:textId="77777777" w:rsidR="007809AB" w:rsidRPr="007809AB" w:rsidRDefault="007809AB" w:rsidP="007809AB">
      <w:pPr>
        <w:spacing w:after="120"/>
        <w:rPr>
          <w:rFonts w:cs="Arial"/>
          <w:bCs/>
          <w:szCs w:val="24"/>
        </w:rPr>
      </w:pPr>
    </w:p>
    <w:p w14:paraId="40267A4B" w14:textId="7E9AA2EC" w:rsidR="007809AB" w:rsidRPr="0067343A" w:rsidRDefault="0067343A" w:rsidP="007809AB">
      <w:pPr>
        <w:spacing w:after="120"/>
        <w:rPr>
          <w:rFonts w:cs="Arial"/>
          <w:b/>
          <w:szCs w:val="24"/>
        </w:rPr>
      </w:pPr>
      <w:r w:rsidRPr="0067343A">
        <w:rPr>
          <w:rFonts w:cs="Arial"/>
          <w:b/>
          <w:szCs w:val="24"/>
        </w:rPr>
        <w:t>incentivi all’occupazione: benefici e condizioni di utilizzo</w:t>
      </w:r>
    </w:p>
    <w:p w14:paraId="11591299" w14:textId="69C2211B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Gli articoli da 1 a 4 del decreto-legge n. 62</w:t>
      </w:r>
      <w:r w:rsidRPr="00CC31A1">
        <w:rPr>
          <w:rFonts w:cs="Arial"/>
          <w:bCs/>
          <w:szCs w:val="24"/>
        </w:rPr>
        <w:t xml:space="preserve"> riguardano gli incentivi all’occupazione, applicabili alle assunzioni a tempo indeterminato, alle trasformazioni dei contratti a termine e a specifiche categorie di lavoratori. L’accesso ai benefici è però subordinato a condizioni puntuali, che richiedono una valutazione preventiva dell’assetto occupazionale dell’impresa.</w:t>
      </w:r>
    </w:p>
    <w:p w14:paraId="5A2B556C" w14:textId="245DB43C" w:rsidR="00CC31A1" w:rsidRPr="00CC31A1" w:rsidRDefault="00CC31A1" w:rsidP="00CC31A1">
      <w:pPr>
        <w:spacing w:after="120"/>
        <w:rPr>
          <w:rFonts w:cs="Arial"/>
          <w:bCs/>
          <w:i/>
          <w:iCs/>
          <w:szCs w:val="24"/>
        </w:rPr>
      </w:pPr>
      <w:r>
        <w:rPr>
          <w:rFonts w:cs="Arial"/>
          <w:bCs/>
          <w:i/>
          <w:iCs/>
          <w:szCs w:val="24"/>
        </w:rPr>
        <w:t>b</w:t>
      </w:r>
      <w:r w:rsidRPr="00CC31A1">
        <w:rPr>
          <w:rFonts w:cs="Arial"/>
          <w:bCs/>
          <w:i/>
          <w:iCs/>
          <w:szCs w:val="24"/>
        </w:rPr>
        <w:t>onus donne 2026</w:t>
      </w:r>
    </w:p>
    <w:p w14:paraId="10E04776" w14:textId="349FFB8A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L’agevolazione</w:t>
      </w:r>
      <w:r w:rsidRPr="00CC31A1">
        <w:rPr>
          <w:rFonts w:cs="Arial"/>
          <w:bCs/>
          <w:szCs w:val="24"/>
        </w:rPr>
        <w:t xml:space="preserve"> si applica alle assunzioni a tempo indeterminato effettuate tra il 1° gennaio e il 31 dicembre 2026 di lavoratrici svantaggiate. Prevede un esonero del 100% dei contributi previdenziali a carico del datore di lavoro (esclusi INAIL), fino a 650 euro mensili per lavoratrice, elevati a 800 euro per le residenti nelle regioni della ZES unica. La durata massima è di 24 mesi nei casi principali (assenza di impiego regolarmente retribuito da almeno 24 mesi, oppure da 12 mesi se appartenenti alla categoria di lavoratori svantaggiati) e di 12 mesi per ulteriori assunzioni di donne svantaggiate anche senza il requisito dell’inoccupazione.</w:t>
      </w:r>
    </w:p>
    <w:p w14:paraId="43FEC87B" w14:textId="77777777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 w:rsidRPr="00CC31A1">
        <w:rPr>
          <w:rFonts w:cs="Arial"/>
          <w:bCs/>
          <w:szCs w:val="24"/>
        </w:rPr>
        <w:t xml:space="preserve">La nozione di “lavoratore svantaggiato”, definita dal Regolamento UE n. 651/2014, comprende soggetti con difficoltà di accesso al lavoro, tra cui chi è disoccupato da almeno </w:t>
      </w:r>
      <w:r w:rsidRPr="00CC31A1">
        <w:rPr>
          <w:rFonts w:cs="Arial"/>
          <w:bCs/>
          <w:szCs w:val="24"/>
        </w:rPr>
        <w:lastRenderedPageBreak/>
        <w:t>sei mesi, giovani tra 15 e 24 anni o over 50, persone senza diploma o con recente formazione senza esperienza lavorativa, individui con carichi familiari, appartenenti a generi sottorappresentati o a minoranze etniche che necessitano di maggiore integrazione professionale.</w:t>
      </w:r>
    </w:p>
    <w:p w14:paraId="205DDCAB" w14:textId="79174C9E" w:rsidR="00CC31A1" w:rsidRPr="00CC31A1" w:rsidRDefault="00CC31A1" w:rsidP="00CC31A1">
      <w:pPr>
        <w:spacing w:after="120"/>
        <w:rPr>
          <w:rFonts w:cs="Arial"/>
          <w:bCs/>
          <w:i/>
          <w:iCs/>
          <w:szCs w:val="24"/>
        </w:rPr>
      </w:pPr>
      <w:r w:rsidRPr="00CC31A1">
        <w:rPr>
          <w:rFonts w:cs="Arial"/>
          <w:bCs/>
          <w:i/>
          <w:iCs/>
          <w:szCs w:val="24"/>
        </w:rPr>
        <w:t>bonus giovani 2026</w:t>
      </w:r>
    </w:p>
    <w:p w14:paraId="4BE7589F" w14:textId="0CBE6A49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L’agevolazione</w:t>
      </w:r>
      <w:r w:rsidRPr="00CC31A1">
        <w:rPr>
          <w:rFonts w:cs="Arial"/>
          <w:bCs/>
          <w:szCs w:val="24"/>
        </w:rPr>
        <w:t xml:space="preserve"> riguarda le assunzioni a tempo indeterminato di lavoratori under 35 non dirigenziali privi di impiego regolarmente retribuito. L’esonero è pari al 100% dei contributi datoriali (esclusi INAIL), fino a 500 euro mensili per 24 mesi, elevati a 650 euro nelle aree indicate dal decreto. È prevista inoltre una durata massima di 12 mesi per ulteriori assunzioni di lavoratori svantaggiati. Sono esclusi il lavoro domestico e l’apprendistato.</w:t>
      </w:r>
    </w:p>
    <w:p w14:paraId="053FB710" w14:textId="55010894" w:rsidR="00CC31A1" w:rsidRPr="00CC31A1" w:rsidRDefault="00CC31A1" w:rsidP="00CC31A1">
      <w:pPr>
        <w:spacing w:after="120"/>
        <w:rPr>
          <w:rFonts w:cs="Arial"/>
          <w:bCs/>
          <w:i/>
          <w:iCs/>
          <w:szCs w:val="24"/>
        </w:rPr>
      </w:pPr>
      <w:r w:rsidRPr="00CC31A1">
        <w:rPr>
          <w:rFonts w:cs="Arial"/>
          <w:bCs/>
          <w:i/>
          <w:iCs/>
          <w:szCs w:val="24"/>
        </w:rPr>
        <w:t>bonus ZES 2026</w:t>
      </w:r>
    </w:p>
    <w:p w14:paraId="785E987B" w14:textId="44AC8DAB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Il bonus</w:t>
      </w:r>
      <w:r w:rsidRPr="00CC31A1">
        <w:rPr>
          <w:rFonts w:cs="Arial"/>
          <w:bCs/>
          <w:szCs w:val="24"/>
        </w:rPr>
        <w:t xml:space="preserve"> è destinato ai datori di lavoro privati con fino a 10 dipendenti che, nel 2026, assumono a tempo indeterminato personale non dirigenziale nelle regioni della ZES unica del Mezzogiorno. Riguarda lavoratori over 35 disoccupati da almeno 24 mesi e prevede un esonero del 100% dei contributi (esclusi INAIL), fino a 650 euro mensili per 24 mesi. Anche in questo caso sono esclusi lavoro domestico e apprendistato.</w:t>
      </w:r>
    </w:p>
    <w:p w14:paraId="600CA550" w14:textId="57923C5E" w:rsidR="00CC31A1" w:rsidRPr="00CC31A1" w:rsidRDefault="00CC31A1" w:rsidP="00CC31A1">
      <w:pPr>
        <w:spacing w:after="120"/>
        <w:rPr>
          <w:rFonts w:cs="Arial"/>
          <w:bCs/>
          <w:i/>
          <w:iCs/>
          <w:szCs w:val="24"/>
        </w:rPr>
      </w:pPr>
      <w:r w:rsidRPr="00CC31A1">
        <w:rPr>
          <w:rFonts w:cs="Arial"/>
          <w:bCs/>
          <w:i/>
          <w:iCs/>
          <w:szCs w:val="24"/>
        </w:rPr>
        <w:t>stabilizzazione dei contratti a termine</w:t>
      </w:r>
    </w:p>
    <w:p w14:paraId="602EC700" w14:textId="4EBDB5CB" w:rsidR="00CC31A1" w:rsidRPr="00CC31A1" w:rsidRDefault="00CC31A1" w:rsidP="00CC31A1">
      <w:pPr>
        <w:spacing w:after="120"/>
        <w:rPr>
          <w:rFonts w:cs="Arial"/>
          <w:bCs/>
          <w:szCs w:val="24"/>
        </w:rPr>
      </w:pPr>
      <w:r w:rsidRPr="00CC31A1">
        <w:rPr>
          <w:rFonts w:cs="Arial"/>
          <w:bCs/>
          <w:szCs w:val="24"/>
        </w:rPr>
        <w:t>È previsto inoltre un incentivo per la stabilizzazione dei contratti a termine, relativo alle trasformazioni in tempo indeterminato effettuate tra il 1° agosto e il 31 dicembre 2026 di contratti avviati entro il 30 aprile 2026, senza interruzioni e con durata complessiva non superiore a 12 mesi. Il lavoratore deve essere under 35 e privo di precedenti rapporti a tempo indeterminato. L’esonero è pari al 100% dei contributi fino a 500 euro mensili per 24 mesi, ma è subordinato all’autorizzazione della Commissione europea.</w:t>
      </w:r>
    </w:p>
    <w:p w14:paraId="7D953C23" w14:textId="77777777" w:rsidR="00CC31A1" w:rsidRPr="00CC31A1" w:rsidRDefault="00CC31A1" w:rsidP="00CC31A1">
      <w:pPr>
        <w:spacing w:after="120"/>
        <w:rPr>
          <w:rFonts w:cs="Arial"/>
          <w:bCs/>
          <w:szCs w:val="24"/>
        </w:rPr>
      </w:pPr>
    </w:p>
    <w:p w14:paraId="210BBD95" w14:textId="54CF10BD" w:rsidR="007809AB" w:rsidRPr="00CC31A1" w:rsidRDefault="00CC31A1" w:rsidP="007809AB">
      <w:pPr>
        <w:spacing w:after="120"/>
        <w:rPr>
          <w:rFonts w:cs="Arial"/>
          <w:b/>
          <w:szCs w:val="24"/>
        </w:rPr>
      </w:pPr>
      <w:r w:rsidRPr="00CC31A1">
        <w:rPr>
          <w:rFonts w:cs="Arial"/>
          <w:b/>
          <w:szCs w:val="24"/>
        </w:rPr>
        <w:t>salario giusto, CCNL e trasparenza retributiva</w:t>
      </w:r>
    </w:p>
    <w:p w14:paraId="5605BB65" w14:textId="77777777" w:rsidR="00775B5B" w:rsidRPr="00775B5B" w:rsidRDefault="00775B5B" w:rsidP="00775B5B">
      <w:pPr>
        <w:spacing w:after="120"/>
        <w:rPr>
          <w:rFonts w:cs="Arial"/>
          <w:bCs/>
          <w:szCs w:val="24"/>
        </w:rPr>
      </w:pPr>
      <w:r w:rsidRPr="00775B5B">
        <w:rPr>
          <w:rFonts w:cs="Arial"/>
          <w:bCs/>
          <w:szCs w:val="24"/>
        </w:rPr>
        <w:t>In materia di salario giusto, il decreto-legge n. 62 individua nella contrattazione collettiva stipulata dalle organizzazioni comparativamente più rappresentative il parametro di riferimento per la determinazione del trattamento economico adeguato ai sensi dell’articolo 36 della Costituzione.</w:t>
      </w:r>
    </w:p>
    <w:p w14:paraId="68A6D688" w14:textId="29DB9F84" w:rsidR="00775B5B" w:rsidRPr="00775B5B" w:rsidRDefault="00775B5B" w:rsidP="00775B5B">
      <w:pPr>
        <w:spacing w:after="120"/>
        <w:rPr>
          <w:rFonts w:cs="Arial"/>
          <w:bCs/>
          <w:szCs w:val="24"/>
        </w:rPr>
      </w:pPr>
      <w:r w:rsidRPr="00775B5B">
        <w:rPr>
          <w:rFonts w:cs="Arial"/>
          <w:bCs/>
          <w:szCs w:val="24"/>
        </w:rPr>
        <w:t>In particolare, il decreto assume come riferimento il trattamento economico complessivo previsto dai contratti collettivi nazionali sottoscritti dalle organizzazioni dei datori di lavoro e dei lavoratori comparativamente più rappresentative sul piano nazionale, tenendo conto del settore, della categoria produttiva, dell’attività principale o prevalente, nonché della dimensione e della natura giuridica del datore di lavoro (art</w:t>
      </w:r>
      <w:r>
        <w:rPr>
          <w:rFonts w:cs="Arial"/>
          <w:bCs/>
          <w:szCs w:val="24"/>
        </w:rPr>
        <w:t>icolo</w:t>
      </w:r>
      <w:r w:rsidRPr="00775B5B">
        <w:rPr>
          <w:rFonts w:cs="Arial"/>
          <w:bCs/>
          <w:szCs w:val="24"/>
        </w:rPr>
        <w:t xml:space="preserve"> 7).</w:t>
      </w:r>
    </w:p>
    <w:p w14:paraId="6684D072" w14:textId="77777777" w:rsidR="00775B5B" w:rsidRPr="00775B5B" w:rsidRDefault="00775B5B" w:rsidP="00775B5B">
      <w:pPr>
        <w:spacing w:after="120"/>
        <w:rPr>
          <w:rFonts w:cs="Arial"/>
          <w:bCs/>
          <w:szCs w:val="24"/>
        </w:rPr>
      </w:pPr>
      <w:r w:rsidRPr="00775B5B">
        <w:rPr>
          <w:rFonts w:cs="Arial"/>
          <w:bCs/>
          <w:szCs w:val="24"/>
        </w:rPr>
        <w:t>I trattamenti previsti da contratti collettivi diversi non possono essere inferiori a quelli stabiliti dal CCNL comparativamente più rappresentativo nel settore e nella categoria di riferimento, secondo i medesimi criteri. Inoltre, l’accesso ai benefici previsti dal decreto è subordinato alla condizione che il trattamento economico individuale non sia inferiore a quello così determinato.</w:t>
      </w:r>
    </w:p>
    <w:p w14:paraId="22BD8CFC" w14:textId="16360733" w:rsidR="00775B5B" w:rsidRPr="00775B5B" w:rsidRDefault="00775B5B" w:rsidP="00775B5B">
      <w:pPr>
        <w:spacing w:after="120"/>
        <w:rPr>
          <w:rFonts w:cs="Arial"/>
          <w:bCs/>
          <w:szCs w:val="24"/>
        </w:rPr>
      </w:pPr>
      <w:r w:rsidRPr="00775B5B">
        <w:rPr>
          <w:rFonts w:cs="Arial"/>
          <w:bCs/>
          <w:szCs w:val="24"/>
        </w:rPr>
        <w:t>Il decreto interviene anche sugli obblighi informativi e sui flussi documentali connessi all’applicazione del CCNL. Il codice alfanumerico unico del contratto applicato entra tra le informazioni obbligatorie del rapporto di lavoro e deve essere indicato anche in busta paga (art</w:t>
      </w:r>
      <w:r>
        <w:rPr>
          <w:rFonts w:cs="Arial"/>
          <w:bCs/>
          <w:szCs w:val="24"/>
        </w:rPr>
        <w:t>icolo</w:t>
      </w:r>
      <w:r w:rsidRPr="00775B5B">
        <w:rPr>
          <w:rFonts w:cs="Arial"/>
          <w:bCs/>
          <w:szCs w:val="24"/>
        </w:rPr>
        <w:t xml:space="preserve"> 11). Tale codice, riportato nelle comunicazioni obbligatorie e nei flussi previdenziali, potrà essere utilizzato da Ministero del lavoro, Ispettorato nazionale del lavoro, INPS, CNEL e altri enti per monitorare l’effettiva applicazione dei contratti, individuare eventuali scostamenti nei trattamenti economici e normativi, programmare l’attività di vigilanza, analizzare fenomeni di dumping e verificare i presupposti per l’accesso ai benefici.</w:t>
      </w:r>
    </w:p>
    <w:p w14:paraId="2897582F" w14:textId="4EC9711F" w:rsidR="00775B5B" w:rsidRPr="00775B5B" w:rsidRDefault="00775B5B" w:rsidP="00775B5B">
      <w:pPr>
        <w:spacing w:after="120"/>
        <w:rPr>
          <w:rFonts w:cs="Arial"/>
          <w:bCs/>
          <w:szCs w:val="24"/>
        </w:rPr>
      </w:pPr>
      <w:r w:rsidRPr="00775B5B">
        <w:rPr>
          <w:rFonts w:cs="Arial"/>
          <w:bCs/>
          <w:szCs w:val="24"/>
        </w:rPr>
        <w:t>Infine, il decreto disciplina anche i rinnovi contrattuali. Le parti stipulanti sono chiamate a definire, in sede di rinnovo, le decorrenze degli incrementi, eventuali una tantum e gli strumenti di copertura economica del periodo tra scadenza e rinnovo. In caso di mancato rinnovo entro 12 mesi dalla scadenza, le retribuzioni sono adeguate alla variazione dell’IPCA nella misura del 30%, salvo diverse previsioni contrattuali. Per i settori caratterizzati da elevata stagionalità e variabilità dei ricavi, l’adeguamento è invece collegato a indicatori economici settoriali individuati dalla contrattazione collettiva (art</w:t>
      </w:r>
      <w:r>
        <w:rPr>
          <w:rFonts w:cs="Arial"/>
          <w:bCs/>
          <w:szCs w:val="24"/>
        </w:rPr>
        <w:t>icolo</w:t>
      </w:r>
      <w:r w:rsidRPr="00775B5B">
        <w:rPr>
          <w:rFonts w:cs="Arial"/>
          <w:bCs/>
          <w:szCs w:val="24"/>
        </w:rPr>
        <w:t xml:space="preserve"> 10).</w:t>
      </w:r>
    </w:p>
    <w:p w14:paraId="59BDBA15" w14:textId="3B07B0A4" w:rsidR="007809AB" w:rsidRPr="007809AB" w:rsidRDefault="007809AB" w:rsidP="00775B5B">
      <w:pPr>
        <w:spacing w:after="120"/>
        <w:rPr>
          <w:rFonts w:cs="Arial"/>
          <w:bCs/>
          <w:szCs w:val="24"/>
        </w:rPr>
      </w:pPr>
    </w:p>
    <w:p w14:paraId="3A8B31A8" w14:textId="2D9BCB91" w:rsidR="00CC31A1" w:rsidRDefault="00CC31A1" w:rsidP="007809AB">
      <w:pPr>
        <w:spacing w:after="120"/>
        <w:rPr>
          <w:rFonts w:cs="Arial"/>
          <w:b/>
          <w:szCs w:val="24"/>
        </w:rPr>
      </w:pPr>
      <w:r w:rsidRPr="00CC31A1">
        <w:rPr>
          <w:rFonts w:cs="Arial"/>
          <w:b/>
          <w:szCs w:val="24"/>
        </w:rPr>
        <w:t>conciliazione famiglia-lavoro, maternità e paternità</w:t>
      </w:r>
    </w:p>
    <w:p w14:paraId="7EC0F587" w14:textId="08144303" w:rsidR="007809AB" w:rsidRPr="007809AB" w:rsidRDefault="007809AB" w:rsidP="007809AB">
      <w:pPr>
        <w:spacing w:after="120"/>
        <w:rPr>
          <w:rFonts w:cs="Arial"/>
          <w:bCs/>
          <w:szCs w:val="24"/>
        </w:rPr>
      </w:pPr>
      <w:r w:rsidRPr="007809AB">
        <w:rPr>
          <w:rFonts w:cs="Arial"/>
          <w:bCs/>
          <w:szCs w:val="24"/>
        </w:rPr>
        <w:t>Tra le ulteriori misure</w:t>
      </w:r>
      <w:r w:rsidR="00775B5B">
        <w:rPr>
          <w:rFonts w:cs="Arial"/>
          <w:bCs/>
          <w:szCs w:val="24"/>
        </w:rPr>
        <w:t xml:space="preserve"> contenute nel decreto-legge</w:t>
      </w:r>
      <w:r w:rsidRPr="007809AB">
        <w:rPr>
          <w:rFonts w:cs="Arial"/>
          <w:bCs/>
          <w:szCs w:val="24"/>
        </w:rPr>
        <w:t xml:space="preserve"> </w:t>
      </w:r>
      <w:r w:rsidR="00775B5B">
        <w:rPr>
          <w:rFonts w:cs="Arial"/>
          <w:bCs/>
          <w:szCs w:val="24"/>
        </w:rPr>
        <w:t xml:space="preserve">si segnala </w:t>
      </w:r>
      <w:r w:rsidRPr="007809AB">
        <w:rPr>
          <w:rFonts w:cs="Arial"/>
          <w:bCs/>
          <w:szCs w:val="24"/>
        </w:rPr>
        <w:t>l’esonero contributivo, fino all’1% e nel limite massimo di 50.000 euro annui per azienda, previsto per le aziende in possesso delle certificazioni richiamate dalla norma in materia di conciliazione famiglia-lavoro, maternità e paternità. La misura decorre dall’entrata in vigore della legge di conversione ed è subordinata a un decreto attuativo, che dovrà definirne modalità applicative e periodo di validità delle certificazioni (art</w:t>
      </w:r>
      <w:r w:rsidR="00775B5B">
        <w:rPr>
          <w:rFonts w:cs="Arial"/>
          <w:bCs/>
          <w:szCs w:val="24"/>
        </w:rPr>
        <w:t>icolo</w:t>
      </w:r>
      <w:r w:rsidRPr="007809AB">
        <w:rPr>
          <w:rFonts w:cs="Arial"/>
          <w:bCs/>
          <w:szCs w:val="24"/>
        </w:rPr>
        <w:t xml:space="preserve"> 6).</w:t>
      </w:r>
    </w:p>
    <w:p w14:paraId="4B9844DD" w14:textId="77777777" w:rsidR="007809AB" w:rsidRDefault="007809AB" w:rsidP="007809AB">
      <w:pPr>
        <w:spacing w:after="120"/>
        <w:rPr>
          <w:rFonts w:cs="Arial"/>
          <w:bCs/>
          <w:szCs w:val="24"/>
        </w:rPr>
      </w:pPr>
    </w:p>
    <w:p w14:paraId="62F4CABD" w14:textId="641AD248" w:rsidR="00CC31A1" w:rsidRPr="00CC31A1" w:rsidRDefault="004B117F" w:rsidP="007809AB">
      <w:pPr>
        <w:spacing w:after="120"/>
        <w:rPr>
          <w:rFonts w:cs="Arial"/>
          <w:b/>
          <w:szCs w:val="24"/>
        </w:rPr>
      </w:pPr>
      <w:r>
        <w:rPr>
          <w:rFonts w:cs="Arial"/>
          <w:b/>
          <w:szCs w:val="24"/>
        </w:rPr>
        <w:t>f</w:t>
      </w:r>
      <w:r w:rsidR="00CC31A1" w:rsidRPr="00CC31A1">
        <w:rPr>
          <w:rFonts w:cs="Arial"/>
          <w:b/>
          <w:szCs w:val="24"/>
        </w:rPr>
        <w:t>ondo di tesoreria</w:t>
      </w:r>
    </w:p>
    <w:p w14:paraId="2B969FD6" w14:textId="4F0D1258" w:rsidR="007809AB" w:rsidRPr="007809AB" w:rsidRDefault="00775B5B" w:rsidP="007809AB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Con riferimento, infine, alla disciplina del </w:t>
      </w:r>
      <w:r w:rsidR="007809AB" w:rsidRPr="007809AB">
        <w:rPr>
          <w:rFonts w:cs="Arial"/>
          <w:bCs/>
          <w:szCs w:val="24"/>
        </w:rPr>
        <w:t>Fondo</w:t>
      </w:r>
      <w:r>
        <w:rPr>
          <w:rFonts w:cs="Arial"/>
          <w:bCs/>
          <w:szCs w:val="24"/>
        </w:rPr>
        <w:t xml:space="preserve"> di t</w:t>
      </w:r>
      <w:r w:rsidR="007809AB" w:rsidRPr="007809AB">
        <w:rPr>
          <w:rFonts w:cs="Arial"/>
          <w:bCs/>
          <w:szCs w:val="24"/>
        </w:rPr>
        <w:t>esoreria</w:t>
      </w:r>
      <w:r>
        <w:rPr>
          <w:rFonts w:cs="Arial"/>
          <w:bCs/>
          <w:szCs w:val="24"/>
        </w:rPr>
        <w:t>,</w:t>
      </w:r>
      <w:r w:rsidR="007809AB" w:rsidRPr="007809AB">
        <w:rPr>
          <w:rFonts w:cs="Arial"/>
          <w:bCs/>
          <w:szCs w:val="24"/>
        </w:rPr>
        <w:t xml:space="preserve"> per i datori tenuti dal 1° gennaio 2026 al versamento del contributo al Fondo, i versamenti relativi ai periodi gennaio-giugno 2026, se effettuati entro il 16 luglio 2026, sono considerati tempestivi e non comportano sanzioni civili, interessi o somme aggiuntive (art</w:t>
      </w:r>
      <w:r>
        <w:rPr>
          <w:rFonts w:cs="Arial"/>
          <w:bCs/>
          <w:szCs w:val="24"/>
        </w:rPr>
        <w:t>icolo</w:t>
      </w:r>
      <w:r w:rsidR="007809AB" w:rsidRPr="007809AB">
        <w:rPr>
          <w:rFonts w:cs="Arial"/>
          <w:bCs/>
          <w:szCs w:val="24"/>
        </w:rPr>
        <w:t xml:space="preserve"> 16).</w:t>
      </w:r>
    </w:p>
    <w:p w14:paraId="62546813" w14:textId="77777777" w:rsidR="00775B5B" w:rsidRDefault="00775B5B" w:rsidP="00404ECB">
      <w:pPr>
        <w:spacing w:after="120"/>
        <w:rPr>
          <w:rFonts w:cs="Arial"/>
          <w:szCs w:val="24"/>
        </w:rPr>
      </w:pPr>
    </w:p>
    <w:p w14:paraId="78FC7C26" w14:textId="738C242B" w:rsidR="00404ECB" w:rsidRPr="00891988" w:rsidRDefault="00404ECB" w:rsidP="00404ECB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>Distinti saluti.</w:t>
      </w:r>
    </w:p>
    <w:p w14:paraId="0933B11F" w14:textId="6967E176" w:rsidR="00404ECB" w:rsidRPr="00891988" w:rsidRDefault="00404ECB" w:rsidP="00404ECB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Il Direttore Generale</w:t>
      </w:r>
    </w:p>
    <w:p w14:paraId="1017BF18" w14:textId="07E5AADF" w:rsidR="00404ECB" w:rsidRPr="00891988" w:rsidRDefault="00404ECB" w:rsidP="00891988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(Dr. Alessandro Massimo Nucara)</w:t>
      </w:r>
    </w:p>
    <w:p w14:paraId="5AFC8F54" w14:textId="0626AB45" w:rsidR="00891988" w:rsidRPr="00CD6AA2" w:rsidRDefault="00891988" w:rsidP="00CD6AA2">
      <w:pPr>
        <w:spacing w:after="120"/>
        <w:rPr>
          <w:rFonts w:cs="Arial"/>
          <w:b/>
          <w:bCs/>
          <w:sz w:val="20"/>
        </w:rPr>
      </w:pPr>
      <w:r w:rsidRPr="00891988">
        <w:rPr>
          <w:rFonts w:cs="Arial"/>
          <w:b/>
          <w:bCs/>
          <w:sz w:val="20"/>
        </w:rPr>
        <w:t>allegato</w:t>
      </w:r>
    </w:p>
    <w:sectPr w:rsidR="00891988" w:rsidRPr="00CD6AA2" w:rsidSect="00404EC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C0AA8" w14:textId="77777777" w:rsidR="00D55489" w:rsidRDefault="00D55489" w:rsidP="00771A7A">
      <w:r>
        <w:separator/>
      </w:r>
    </w:p>
  </w:endnote>
  <w:endnote w:type="continuationSeparator" w:id="0">
    <w:p w14:paraId="5FF05B9D" w14:textId="77777777" w:rsidR="00D55489" w:rsidRDefault="00D55489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93AB7" w14:textId="77777777" w:rsidR="00287EC8" w:rsidRDefault="00287EC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3E2E" w14:textId="77777777" w:rsidR="00287EC8" w:rsidRDefault="00287EC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E14CC" w14:textId="77777777" w:rsidR="00F347BE" w:rsidRPr="0047576E" w:rsidRDefault="00404ECB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82FB2E4" wp14:editId="10CE6053">
              <wp:simplePos x="0" y="0"/>
              <wp:positionH relativeFrom="column">
                <wp:posOffset>-9525</wp:posOffset>
              </wp:positionH>
              <wp:positionV relativeFrom="paragraph">
                <wp:posOffset>11218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713460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9pt" to="476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1985"/>
      <w:gridCol w:w="2063"/>
      <w:gridCol w:w="1752"/>
    </w:tblGrid>
    <w:tr w:rsidR="00F347BE" w14:paraId="6A1B1FC5" w14:textId="77777777" w:rsidTr="00DB3D92">
      <w:tc>
        <w:tcPr>
          <w:tcW w:w="3686" w:type="dxa"/>
        </w:tcPr>
        <w:p w14:paraId="3C00C50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FEDERAZIONE DELLE ASSOCIAZIONI</w:t>
          </w:r>
        </w:p>
      </w:tc>
      <w:tc>
        <w:tcPr>
          <w:tcW w:w="1985" w:type="dxa"/>
        </w:tcPr>
        <w:p w14:paraId="04928A9D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063" w:type="dxa"/>
        </w:tcPr>
        <w:p w14:paraId="04DC54F2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federalberghi.it</w:t>
          </w:r>
        </w:p>
      </w:tc>
      <w:tc>
        <w:tcPr>
          <w:tcW w:w="1752" w:type="dxa"/>
          <w:vMerge w:val="restart"/>
        </w:tcPr>
        <w:p w14:paraId="13B38C54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58241" behindDoc="0" locked="0" layoutInCell="1" allowOverlap="1" wp14:anchorId="5493D13B" wp14:editId="45CE9CA0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347BE" w14:paraId="5FE0F7EB" w14:textId="77777777" w:rsidTr="00DB3D92">
      <w:tc>
        <w:tcPr>
          <w:tcW w:w="3686" w:type="dxa"/>
        </w:tcPr>
        <w:p w14:paraId="2D9EBDAE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BA5460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ITALIANE ALBERGHI E TURISMO</w:t>
          </w:r>
        </w:p>
      </w:tc>
      <w:tc>
        <w:tcPr>
          <w:tcW w:w="1985" w:type="dxa"/>
        </w:tcPr>
        <w:p w14:paraId="3DDF9261" w14:textId="72386275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063" w:type="dxa"/>
        </w:tcPr>
        <w:p w14:paraId="44FF68BB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info@federalberghi.it</w:t>
          </w:r>
        </w:p>
      </w:tc>
      <w:tc>
        <w:tcPr>
          <w:tcW w:w="1752" w:type="dxa"/>
          <w:vMerge/>
        </w:tcPr>
        <w:p w14:paraId="1561B17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4B0CF98B" w:rsidR="0047576E" w:rsidRPr="0047576E" w:rsidRDefault="0047576E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E5AD3" w14:textId="77777777" w:rsidR="00D55489" w:rsidRDefault="00D55489" w:rsidP="00771A7A">
      <w:r>
        <w:separator/>
      </w:r>
    </w:p>
  </w:footnote>
  <w:footnote w:type="continuationSeparator" w:id="0">
    <w:p w14:paraId="065CB013" w14:textId="77777777" w:rsidR="00D55489" w:rsidRDefault="00D55489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DBA09" w14:textId="77777777" w:rsidR="00287EC8" w:rsidRDefault="00287EC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FF82745" w:rsidR="003A2854" w:rsidRDefault="003A2854" w:rsidP="009214F6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it-IT"/>
      </w:rPr>
      <w:drawing>
        <wp:inline distT="0" distB="0" distL="0" distR="0" wp14:anchorId="4287B0E1" wp14:editId="063E6E18">
          <wp:extent cx="1242807" cy="928800"/>
          <wp:effectExtent l="0" t="0" r="1905" b="0"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861201" name="Immagine 690861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807" cy="92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4D0BC2" w14:textId="4123905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439B7EB0" w14:textId="14203A8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21950D2C" w14:textId="15998C6C" w:rsidR="000A496A" w:rsidRDefault="000A496A" w:rsidP="007E4159">
    <w:pPr>
      <w:pStyle w:val="Intestazione"/>
      <w:ind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Roma, </w:t>
    </w:r>
    <w:r w:rsidR="007809AB">
      <w:rPr>
        <w:rFonts w:ascii="Arial" w:hAnsi="Arial" w:cs="Arial"/>
        <w:sz w:val="24"/>
        <w:szCs w:val="24"/>
      </w:rPr>
      <w:t>4 maggio</w:t>
    </w:r>
    <w:r>
      <w:rPr>
        <w:rFonts w:ascii="Arial" w:hAnsi="Arial" w:cs="Arial"/>
        <w:sz w:val="24"/>
        <w:szCs w:val="24"/>
      </w:rPr>
      <w:t xml:space="preserve"> 2026</w:t>
    </w:r>
  </w:p>
  <w:p w14:paraId="6E2712EB" w14:textId="77777777" w:rsidR="000A496A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6C0DBB94" w14:textId="3EFC0B03" w:rsidR="000A496A" w:rsidRDefault="000A496A" w:rsidP="00891988">
    <w:pPr>
      <w:pStyle w:val="Intestazione"/>
      <w:tabs>
        <w:tab w:val="left" w:pos="3990"/>
      </w:tabs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>
      <w:rPr>
        <w:rFonts w:ascii="Arial" w:hAnsi="Arial" w:cs="Arial"/>
        <w:sz w:val="24"/>
        <w:szCs w:val="24"/>
      </w:rPr>
      <w:t xml:space="preserve"> </w:t>
    </w:r>
    <w:r w:rsidR="00287EC8">
      <w:rPr>
        <w:rFonts w:ascii="Arial" w:hAnsi="Arial" w:cs="Arial"/>
        <w:sz w:val="24"/>
        <w:szCs w:val="24"/>
      </w:rPr>
      <w:t xml:space="preserve">120 </w:t>
    </w:r>
    <w:r>
      <w:rPr>
        <w:rFonts w:ascii="Arial" w:hAnsi="Arial" w:cs="Arial"/>
        <w:sz w:val="24"/>
        <w:szCs w:val="24"/>
      </w:rPr>
      <w:t>/ 2026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65E2007E" w14:textId="3050BAA4" w:rsidR="000A496A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>
      <w:rPr>
        <w:rFonts w:ascii="Arial" w:hAnsi="Arial" w:cs="Arial"/>
        <w:sz w:val="24"/>
        <w:szCs w:val="24"/>
      </w:rPr>
      <w:t xml:space="preserve"> </w:t>
    </w:r>
    <w:r w:rsidR="00287EC8">
      <w:rPr>
        <w:rFonts w:ascii="Arial" w:hAnsi="Arial" w:cs="Arial"/>
        <w:sz w:val="24"/>
        <w:szCs w:val="24"/>
      </w:rPr>
      <w:t xml:space="preserve">155 </w:t>
    </w:r>
    <w:r>
      <w:rPr>
        <w:rFonts w:ascii="Arial" w:hAnsi="Arial" w:cs="Arial"/>
        <w:sz w:val="24"/>
        <w:szCs w:val="24"/>
      </w:rPr>
      <w:t xml:space="preserve">/ </w:t>
    </w:r>
    <w:r w:rsidR="007809AB">
      <w:rPr>
        <w:rFonts w:ascii="Arial" w:hAnsi="Arial" w:cs="Arial"/>
        <w:sz w:val="24"/>
        <w:szCs w:val="24"/>
      </w:rPr>
      <w:t>AGC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2A39D8FC" w14:textId="77777777" w:rsidR="000A496A" w:rsidRPr="00AF7609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08461504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03A0E94A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F225D26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745C6D84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08E4FDBB" w14:textId="62CDC424" w:rsidR="003A2854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="00061174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_____________________________</w:t>
    </w:r>
  </w:p>
  <w:p w14:paraId="643B1A02" w14:textId="77777777" w:rsidR="00891988" w:rsidRPr="0002322E" w:rsidRDefault="00891988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defaultTabStop w:val="851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41187"/>
    <w:rsid w:val="0004400D"/>
    <w:rsid w:val="000471AD"/>
    <w:rsid w:val="00061174"/>
    <w:rsid w:val="00062126"/>
    <w:rsid w:val="00065D69"/>
    <w:rsid w:val="0007302A"/>
    <w:rsid w:val="000A496A"/>
    <w:rsid w:val="000B5032"/>
    <w:rsid w:val="000B6DAF"/>
    <w:rsid w:val="000C034D"/>
    <w:rsid w:val="000E0B79"/>
    <w:rsid w:val="000E3C28"/>
    <w:rsid w:val="000E3F21"/>
    <w:rsid w:val="000F1F74"/>
    <w:rsid w:val="000F353E"/>
    <w:rsid w:val="001035E2"/>
    <w:rsid w:val="0011181A"/>
    <w:rsid w:val="00112503"/>
    <w:rsid w:val="00133836"/>
    <w:rsid w:val="0013403F"/>
    <w:rsid w:val="0013513A"/>
    <w:rsid w:val="00142A8B"/>
    <w:rsid w:val="0014341E"/>
    <w:rsid w:val="001457CC"/>
    <w:rsid w:val="00154022"/>
    <w:rsid w:val="00157974"/>
    <w:rsid w:val="00167E67"/>
    <w:rsid w:val="00176FE5"/>
    <w:rsid w:val="001771EA"/>
    <w:rsid w:val="0018098C"/>
    <w:rsid w:val="00180E0F"/>
    <w:rsid w:val="0018757F"/>
    <w:rsid w:val="00191884"/>
    <w:rsid w:val="001A54B6"/>
    <w:rsid w:val="001B4CFF"/>
    <w:rsid w:val="001B75AE"/>
    <w:rsid w:val="001D5759"/>
    <w:rsid w:val="001D5DF2"/>
    <w:rsid w:val="001F1583"/>
    <w:rsid w:val="001F3AC4"/>
    <w:rsid w:val="00212968"/>
    <w:rsid w:val="00213175"/>
    <w:rsid w:val="002135FE"/>
    <w:rsid w:val="00214C04"/>
    <w:rsid w:val="002230A1"/>
    <w:rsid w:val="002368DC"/>
    <w:rsid w:val="00252E9C"/>
    <w:rsid w:val="00260B76"/>
    <w:rsid w:val="00287EC8"/>
    <w:rsid w:val="002921CE"/>
    <w:rsid w:val="002A5F18"/>
    <w:rsid w:val="002A63E6"/>
    <w:rsid w:val="002B2D92"/>
    <w:rsid w:val="002B4A47"/>
    <w:rsid w:val="002E304A"/>
    <w:rsid w:val="002E3F91"/>
    <w:rsid w:val="002F5058"/>
    <w:rsid w:val="002F57C3"/>
    <w:rsid w:val="00303C3C"/>
    <w:rsid w:val="00305C40"/>
    <w:rsid w:val="00306F06"/>
    <w:rsid w:val="00326BAF"/>
    <w:rsid w:val="00334D71"/>
    <w:rsid w:val="003419BD"/>
    <w:rsid w:val="0034708B"/>
    <w:rsid w:val="003626E9"/>
    <w:rsid w:val="003667EC"/>
    <w:rsid w:val="00376AC6"/>
    <w:rsid w:val="00376F1E"/>
    <w:rsid w:val="00390876"/>
    <w:rsid w:val="00395545"/>
    <w:rsid w:val="003A2854"/>
    <w:rsid w:val="003A44BF"/>
    <w:rsid w:val="003A4BCE"/>
    <w:rsid w:val="003B4AD3"/>
    <w:rsid w:val="003B6831"/>
    <w:rsid w:val="003C274B"/>
    <w:rsid w:val="003C7BF9"/>
    <w:rsid w:val="003E2949"/>
    <w:rsid w:val="003E30D2"/>
    <w:rsid w:val="003E69A7"/>
    <w:rsid w:val="003F4D9B"/>
    <w:rsid w:val="003F5515"/>
    <w:rsid w:val="00404ECB"/>
    <w:rsid w:val="00426F94"/>
    <w:rsid w:val="00441824"/>
    <w:rsid w:val="00454EE8"/>
    <w:rsid w:val="004655EC"/>
    <w:rsid w:val="0047576E"/>
    <w:rsid w:val="00477863"/>
    <w:rsid w:val="004A70D5"/>
    <w:rsid w:val="004B0DE9"/>
    <w:rsid w:val="004B117F"/>
    <w:rsid w:val="004B502E"/>
    <w:rsid w:val="004C13A6"/>
    <w:rsid w:val="004E3B51"/>
    <w:rsid w:val="004E44C2"/>
    <w:rsid w:val="00525789"/>
    <w:rsid w:val="0052743D"/>
    <w:rsid w:val="00533104"/>
    <w:rsid w:val="00547F55"/>
    <w:rsid w:val="005530C1"/>
    <w:rsid w:val="00553D65"/>
    <w:rsid w:val="00571899"/>
    <w:rsid w:val="005927B2"/>
    <w:rsid w:val="005B0BBD"/>
    <w:rsid w:val="005B1591"/>
    <w:rsid w:val="005B1A98"/>
    <w:rsid w:val="005F1228"/>
    <w:rsid w:val="00612779"/>
    <w:rsid w:val="00616B9E"/>
    <w:rsid w:val="00633D39"/>
    <w:rsid w:val="00637410"/>
    <w:rsid w:val="006440D3"/>
    <w:rsid w:val="00646174"/>
    <w:rsid w:val="00666DA1"/>
    <w:rsid w:val="00666FB4"/>
    <w:rsid w:val="00667539"/>
    <w:rsid w:val="00671B98"/>
    <w:rsid w:val="0067343A"/>
    <w:rsid w:val="00682CD5"/>
    <w:rsid w:val="00692B97"/>
    <w:rsid w:val="006A5F42"/>
    <w:rsid w:val="006A6082"/>
    <w:rsid w:val="006C633F"/>
    <w:rsid w:val="006C71FC"/>
    <w:rsid w:val="006E5B85"/>
    <w:rsid w:val="006E717E"/>
    <w:rsid w:val="006E78E4"/>
    <w:rsid w:val="007067C5"/>
    <w:rsid w:val="00714E6F"/>
    <w:rsid w:val="00715ADC"/>
    <w:rsid w:val="00725D99"/>
    <w:rsid w:val="00730CA7"/>
    <w:rsid w:val="0075280B"/>
    <w:rsid w:val="00756AE3"/>
    <w:rsid w:val="0076737F"/>
    <w:rsid w:val="00771A7A"/>
    <w:rsid w:val="00775B5B"/>
    <w:rsid w:val="007809AB"/>
    <w:rsid w:val="0079026C"/>
    <w:rsid w:val="00797833"/>
    <w:rsid w:val="007A649E"/>
    <w:rsid w:val="007C298D"/>
    <w:rsid w:val="007C7EEE"/>
    <w:rsid w:val="007D010D"/>
    <w:rsid w:val="007E058E"/>
    <w:rsid w:val="007E32CC"/>
    <w:rsid w:val="007E4159"/>
    <w:rsid w:val="007E6627"/>
    <w:rsid w:val="007F538E"/>
    <w:rsid w:val="00802F34"/>
    <w:rsid w:val="008058A4"/>
    <w:rsid w:val="00861AA0"/>
    <w:rsid w:val="0087471F"/>
    <w:rsid w:val="00891988"/>
    <w:rsid w:val="008A54F1"/>
    <w:rsid w:val="008B0A23"/>
    <w:rsid w:val="008B4643"/>
    <w:rsid w:val="008C0AD3"/>
    <w:rsid w:val="008C6C30"/>
    <w:rsid w:val="008D1135"/>
    <w:rsid w:val="008E6FDD"/>
    <w:rsid w:val="008F1B9C"/>
    <w:rsid w:val="008F2C1C"/>
    <w:rsid w:val="008F2D0B"/>
    <w:rsid w:val="008F3828"/>
    <w:rsid w:val="008F534A"/>
    <w:rsid w:val="00915F20"/>
    <w:rsid w:val="009214F6"/>
    <w:rsid w:val="009324C5"/>
    <w:rsid w:val="00960E5E"/>
    <w:rsid w:val="00970CDB"/>
    <w:rsid w:val="009713AD"/>
    <w:rsid w:val="0097506C"/>
    <w:rsid w:val="00994B69"/>
    <w:rsid w:val="009B0A77"/>
    <w:rsid w:val="009B3D9B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5777"/>
    <w:rsid w:val="00A4544B"/>
    <w:rsid w:val="00A627E7"/>
    <w:rsid w:val="00A8143E"/>
    <w:rsid w:val="00A86225"/>
    <w:rsid w:val="00A915CB"/>
    <w:rsid w:val="00AA2711"/>
    <w:rsid w:val="00AA3B5B"/>
    <w:rsid w:val="00AB1C9A"/>
    <w:rsid w:val="00AB515F"/>
    <w:rsid w:val="00AB790C"/>
    <w:rsid w:val="00AB79AA"/>
    <w:rsid w:val="00AD1100"/>
    <w:rsid w:val="00AD53C5"/>
    <w:rsid w:val="00AF387B"/>
    <w:rsid w:val="00AF7609"/>
    <w:rsid w:val="00B01EAC"/>
    <w:rsid w:val="00B13F57"/>
    <w:rsid w:val="00B144BE"/>
    <w:rsid w:val="00B161E1"/>
    <w:rsid w:val="00B212BB"/>
    <w:rsid w:val="00B26EE0"/>
    <w:rsid w:val="00B314F8"/>
    <w:rsid w:val="00B43F4B"/>
    <w:rsid w:val="00B47BF0"/>
    <w:rsid w:val="00B72CB4"/>
    <w:rsid w:val="00B878C2"/>
    <w:rsid w:val="00B96D60"/>
    <w:rsid w:val="00B970F2"/>
    <w:rsid w:val="00BA5460"/>
    <w:rsid w:val="00BB7A40"/>
    <w:rsid w:val="00BC2D3D"/>
    <w:rsid w:val="00C04EEA"/>
    <w:rsid w:val="00C058E8"/>
    <w:rsid w:val="00C05DC9"/>
    <w:rsid w:val="00C0766A"/>
    <w:rsid w:val="00C10302"/>
    <w:rsid w:val="00C11359"/>
    <w:rsid w:val="00C16B26"/>
    <w:rsid w:val="00C25E98"/>
    <w:rsid w:val="00C42093"/>
    <w:rsid w:val="00C45D9F"/>
    <w:rsid w:val="00C52F6C"/>
    <w:rsid w:val="00C62236"/>
    <w:rsid w:val="00C91262"/>
    <w:rsid w:val="00C9220A"/>
    <w:rsid w:val="00C94442"/>
    <w:rsid w:val="00CA511B"/>
    <w:rsid w:val="00CC2BAC"/>
    <w:rsid w:val="00CC31A1"/>
    <w:rsid w:val="00CD124A"/>
    <w:rsid w:val="00CD4E9C"/>
    <w:rsid w:val="00CD6615"/>
    <w:rsid w:val="00CD6AA2"/>
    <w:rsid w:val="00CE2691"/>
    <w:rsid w:val="00CE5FF0"/>
    <w:rsid w:val="00CF6B40"/>
    <w:rsid w:val="00D00485"/>
    <w:rsid w:val="00D0512E"/>
    <w:rsid w:val="00D05C53"/>
    <w:rsid w:val="00D07A5A"/>
    <w:rsid w:val="00D07F68"/>
    <w:rsid w:val="00D17BE7"/>
    <w:rsid w:val="00D31694"/>
    <w:rsid w:val="00D31A67"/>
    <w:rsid w:val="00D32AF4"/>
    <w:rsid w:val="00D409E4"/>
    <w:rsid w:val="00D55489"/>
    <w:rsid w:val="00D765AD"/>
    <w:rsid w:val="00D8298F"/>
    <w:rsid w:val="00D95146"/>
    <w:rsid w:val="00DA7C64"/>
    <w:rsid w:val="00DB598C"/>
    <w:rsid w:val="00DC505D"/>
    <w:rsid w:val="00DC772B"/>
    <w:rsid w:val="00DD04E4"/>
    <w:rsid w:val="00DE1D4F"/>
    <w:rsid w:val="00DF010F"/>
    <w:rsid w:val="00DF41DC"/>
    <w:rsid w:val="00E074BC"/>
    <w:rsid w:val="00E12D43"/>
    <w:rsid w:val="00E2585A"/>
    <w:rsid w:val="00E3056A"/>
    <w:rsid w:val="00E34F1A"/>
    <w:rsid w:val="00E35E98"/>
    <w:rsid w:val="00E42E95"/>
    <w:rsid w:val="00E57B26"/>
    <w:rsid w:val="00E65A6D"/>
    <w:rsid w:val="00E77A31"/>
    <w:rsid w:val="00E95125"/>
    <w:rsid w:val="00E9548B"/>
    <w:rsid w:val="00EA5C06"/>
    <w:rsid w:val="00EA7C25"/>
    <w:rsid w:val="00EC263E"/>
    <w:rsid w:val="00ED2FA7"/>
    <w:rsid w:val="00ED3382"/>
    <w:rsid w:val="00ED49C7"/>
    <w:rsid w:val="00F033F9"/>
    <w:rsid w:val="00F0654D"/>
    <w:rsid w:val="00F10346"/>
    <w:rsid w:val="00F347BE"/>
    <w:rsid w:val="00F3700A"/>
    <w:rsid w:val="00F710F3"/>
    <w:rsid w:val="00F7181B"/>
    <w:rsid w:val="00F71DCB"/>
    <w:rsid w:val="00F91060"/>
    <w:rsid w:val="00F97482"/>
    <w:rsid w:val="00FA0B5B"/>
    <w:rsid w:val="00FB33DC"/>
    <w:rsid w:val="00FB6AFE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FEDERALB-233-39318</_dlc_DocId>
    <_dlc_DocIdUrl xmlns="dd2003e8-ee4e-4182-9e66-4c90256c9f25">
      <Url>https://intranet.federalberghi.it/pubblicazioni/_layouts/15/DocIdRedir.aspx?ID=FEDERALB-233-39318</Url>
      <Description>FEDERALB-233-39318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09B6CFBD-3283-44F0-B548-3E37ED91D0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circolari.docx</vt:lpstr>
    </vt:vector>
  </TitlesOfParts>
  <Company/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disposizioni urgenti in materia di salario giusto, di incentivi all'occupazione e di contrasto del caporalato digitale</dc:title>
  <dc:subject/>
  <dc:creator>Loredana Malanotte</dc:creator>
  <cp:keywords/>
  <dc:description/>
  <cp:lastModifiedBy>Cristina Rezzi</cp:lastModifiedBy>
  <cp:revision>5</cp:revision>
  <cp:lastPrinted>2020-11-06T15:03:00Z</cp:lastPrinted>
  <dcterms:created xsi:type="dcterms:W3CDTF">2026-05-04T15:02:00Z</dcterms:created>
  <dcterms:modified xsi:type="dcterms:W3CDTF">2026-05-04T15:43:00Z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4146f94f-59e8-4a69-bc97-481eaf2a3894</vt:lpwstr>
  </property>
</Properties>
</file>