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A17C0" w14:textId="393378FD" w:rsidR="007D4FB7" w:rsidRPr="007D4FB7" w:rsidRDefault="00404ECB" w:rsidP="007D4FB7">
      <w:pPr>
        <w:tabs>
          <w:tab w:val="left" w:pos="2868"/>
        </w:tabs>
        <w:spacing w:after="120"/>
        <w:ind w:left="1021" w:hanging="1021"/>
        <w:rPr>
          <w:rFonts w:cs="Arial"/>
          <w:b/>
          <w:bCs/>
          <w:szCs w:val="24"/>
        </w:rPr>
      </w:pPr>
      <w:r w:rsidRPr="00891988">
        <w:rPr>
          <w:rFonts w:cs="Arial"/>
          <w:szCs w:val="24"/>
        </w:rPr>
        <w:t>Oggetto:</w:t>
      </w:r>
      <w:r w:rsidRPr="00891988">
        <w:rPr>
          <w:rFonts w:cs="Arial"/>
          <w:b/>
          <w:szCs w:val="24"/>
        </w:rPr>
        <w:t xml:space="preserve"> </w:t>
      </w:r>
      <w:r w:rsidR="007D4FB7" w:rsidRPr="007D4FB7">
        <w:rPr>
          <w:rFonts w:cs="Arial"/>
          <w:b/>
          <w:bCs/>
          <w:szCs w:val="24"/>
        </w:rPr>
        <w:t>contratti a termine stagionali - limite proroghe - esclusione - Corte di Cassazione, Sezione lavoro,</w:t>
      </w:r>
      <w:r w:rsidR="00477838">
        <w:rPr>
          <w:rFonts w:cs="Arial"/>
          <w:b/>
          <w:bCs/>
          <w:szCs w:val="24"/>
        </w:rPr>
        <w:t xml:space="preserve"> sentenza</w:t>
      </w:r>
      <w:r w:rsidR="007D4FB7" w:rsidRPr="007D4FB7">
        <w:rPr>
          <w:rFonts w:cs="Arial"/>
          <w:b/>
          <w:bCs/>
          <w:szCs w:val="24"/>
        </w:rPr>
        <w:t xml:space="preserve"> 27 aprile 2026, n. 11269</w:t>
      </w:r>
    </w:p>
    <w:p w14:paraId="1F766CA9" w14:textId="5881ACEE" w:rsidR="007D4FB7" w:rsidRDefault="00477838" w:rsidP="007D4FB7">
      <w:pPr>
        <w:spacing w:after="120"/>
        <w:rPr>
          <w:rFonts w:cs="Arial"/>
          <w:bCs/>
          <w:szCs w:val="24"/>
        </w:rPr>
      </w:pPr>
      <w:r>
        <w:rPr>
          <w:rFonts w:cs="Arial"/>
          <w:bCs/>
          <w:szCs w:val="24"/>
        </w:rPr>
        <w:t>Con una recente sentenza (allegata), l</w:t>
      </w:r>
      <w:r w:rsidR="007D4FB7" w:rsidRPr="007D4FB7">
        <w:rPr>
          <w:rFonts w:cs="Arial"/>
          <w:bCs/>
          <w:szCs w:val="24"/>
        </w:rPr>
        <w:t xml:space="preserve">a </w:t>
      </w:r>
      <w:r w:rsidR="007867CF">
        <w:rPr>
          <w:rFonts w:cs="Arial"/>
          <w:bCs/>
          <w:szCs w:val="24"/>
        </w:rPr>
        <w:t xml:space="preserve">Corte di Cassazione si è pronunciata in merito </w:t>
      </w:r>
      <w:r>
        <w:rPr>
          <w:rFonts w:cs="Arial"/>
          <w:bCs/>
          <w:szCs w:val="24"/>
        </w:rPr>
        <w:t>a</w:t>
      </w:r>
      <w:r w:rsidR="007867CF">
        <w:rPr>
          <w:rFonts w:cs="Arial"/>
          <w:bCs/>
          <w:szCs w:val="24"/>
        </w:rPr>
        <w:t xml:space="preserve">l </w:t>
      </w:r>
      <w:r w:rsidR="00115AAB">
        <w:rPr>
          <w:rFonts w:cs="Arial"/>
          <w:bCs/>
          <w:szCs w:val="24"/>
        </w:rPr>
        <w:t>numero massimo di</w:t>
      </w:r>
      <w:r w:rsidR="007867CF">
        <w:rPr>
          <w:rFonts w:cs="Arial"/>
          <w:bCs/>
          <w:szCs w:val="24"/>
        </w:rPr>
        <w:t xml:space="preserve"> proroghe </w:t>
      </w:r>
      <w:r w:rsidR="00115AAB">
        <w:rPr>
          <w:rFonts w:cs="Arial"/>
          <w:bCs/>
          <w:szCs w:val="24"/>
        </w:rPr>
        <w:t>applicabile a un contratto a termine</w:t>
      </w:r>
      <w:r w:rsidR="00391C5F">
        <w:rPr>
          <w:rFonts w:cs="Arial"/>
          <w:bCs/>
          <w:szCs w:val="24"/>
        </w:rPr>
        <w:t>,</w:t>
      </w:r>
      <w:r w:rsidR="00115AAB">
        <w:rPr>
          <w:rFonts w:cs="Arial"/>
          <w:bCs/>
          <w:szCs w:val="24"/>
        </w:rPr>
        <w:t xml:space="preserve"> </w:t>
      </w:r>
      <w:r w:rsidR="007867CF">
        <w:rPr>
          <w:rFonts w:cs="Arial"/>
          <w:bCs/>
          <w:szCs w:val="24"/>
        </w:rPr>
        <w:t>di</w:t>
      </w:r>
      <w:r>
        <w:rPr>
          <w:rFonts w:cs="Arial"/>
          <w:bCs/>
          <w:szCs w:val="24"/>
        </w:rPr>
        <w:t>sciplinato dall’articolo</w:t>
      </w:r>
      <w:r w:rsidR="007867CF" w:rsidRPr="007D4FB7">
        <w:rPr>
          <w:rFonts w:cs="Arial"/>
          <w:bCs/>
          <w:szCs w:val="24"/>
        </w:rPr>
        <w:t xml:space="preserve"> 21, c</w:t>
      </w:r>
      <w:r>
        <w:rPr>
          <w:rFonts w:cs="Arial"/>
          <w:bCs/>
          <w:szCs w:val="24"/>
        </w:rPr>
        <w:t>.</w:t>
      </w:r>
      <w:r w:rsidR="007867CF" w:rsidRPr="007D4FB7">
        <w:rPr>
          <w:rFonts w:cs="Arial"/>
          <w:bCs/>
          <w:szCs w:val="24"/>
        </w:rPr>
        <w:t xml:space="preserve"> 1,</w:t>
      </w:r>
      <w:r>
        <w:rPr>
          <w:rFonts w:cs="Arial"/>
          <w:bCs/>
          <w:szCs w:val="24"/>
        </w:rPr>
        <w:t xml:space="preserve"> del</w:t>
      </w:r>
      <w:r w:rsidR="007867CF" w:rsidRPr="007D4FB7">
        <w:rPr>
          <w:rFonts w:cs="Arial"/>
          <w:bCs/>
          <w:szCs w:val="24"/>
        </w:rPr>
        <w:t xml:space="preserve"> </w:t>
      </w:r>
      <w:r w:rsidR="002129AB">
        <w:rPr>
          <w:rFonts w:cs="Arial"/>
          <w:bCs/>
          <w:szCs w:val="24"/>
        </w:rPr>
        <w:t>decreto</w:t>
      </w:r>
      <w:r>
        <w:rPr>
          <w:rFonts w:cs="Arial"/>
          <w:bCs/>
          <w:szCs w:val="24"/>
        </w:rPr>
        <w:t xml:space="preserve"> legislativo 15 giugno 2015, n. 81</w:t>
      </w:r>
      <w:r w:rsidR="007867CF">
        <w:rPr>
          <w:rFonts w:cs="Arial"/>
          <w:bCs/>
          <w:szCs w:val="24"/>
        </w:rPr>
        <w:t xml:space="preserve">, con particolare riferimento </w:t>
      </w:r>
      <w:r w:rsidR="002129AB">
        <w:rPr>
          <w:rFonts w:cs="Arial"/>
          <w:bCs/>
          <w:szCs w:val="24"/>
        </w:rPr>
        <w:t>a</w:t>
      </w:r>
      <w:r w:rsidR="007867CF">
        <w:rPr>
          <w:rFonts w:cs="Arial"/>
          <w:bCs/>
          <w:szCs w:val="24"/>
        </w:rPr>
        <w:t>l</w:t>
      </w:r>
      <w:r w:rsidR="00115AAB">
        <w:rPr>
          <w:rFonts w:cs="Arial"/>
          <w:bCs/>
          <w:szCs w:val="24"/>
        </w:rPr>
        <w:t xml:space="preserve">l’applicabilità di tale </w:t>
      </w:r>
      <w:r w:rsidR="007867CF">
        <w:rPr>
          <w:rFonts w:cs="Arial"/>
          <w:bCs/>
          <w:szCs w:val="24"/>
        </w:rPr>
        <w:t xml:space="preserve">limite ai contratti </w:t>
      </w:r>
      <w:r w:rsidR="00115AAB">
        <w:rPr>
          <w:rFonts w:cs="Arial"/>
          <w:bCs/>
          <w:szCs w:val="24"/>
        </w:rPr>
        <w:t xml:space="preserve">a termine </w:t>
      </w:r>
      <w:r w:rsidR="007867CF">
        <w:rPr>
          <w:rFonts w:cs="Arial"/>
          <w:bCs/>
          <w:szCs w:val="24"/>
        </w:rPr>
        <w:t xml:space="preserve">stipulati per attività stagionali. </w:t>
      </w:r>
    </w:p>
    <w:p w14:paraId="2A90247D" w14:textId="38004F76" w:rsidR="00B166C1" w:rsidRDefault="00477838" w:rsidP="00B166C1">
      <w:pPr>
        <w:spacing w:after="120"/>
        <w:rPr>
          <w:rFonts w:cs="Arial"/>
          <w:bCs/>
          <w:szCs w:val="24"/>
        </w:rPr>
      </w:pPr>
      <w:r>
        <w:rPr>
          <w:rFonts w:cs="Arial"/>
          <w:bCs/>
          <w:szCs w:val="24"/>
        </w:rPr>
        <w:t xml:space="preserve">Il principio stabilito dalla sentenza </w:t>
      </w:r>
      <w:r w:rsidR="00B166C1">
        <w:rPr>
          <w:rFonts w:cs="Arial"/>
          <w:bCs/>
          <w:szCs w:val="24"/>
        </w:rPr>
        <w:t xml:space="preserve">è che </w:t>
      </w:r>
      <w:r w:rsidR="00B166C1" w:rsidRPr="007867CF">
        <w:rPr>
          <w:rFonts w:cs="Arial"/>
          <w:bCs/>
          <w:szCs w:val="24"/>
        </w:rPr>
        <w:t>i contratti a tempo determinato per attività stagionali non siano soggetti al limite massimo delle proroghe</w:t>
      </w:r>
      <w:r w:rsidR="00B166C1">
        <w:rPr>
          <w:rFonts w:cs="Arial"/>
          <w:bCs/>
          <w:szCs w:val="24"/>
        </w:rPr>
        <w:t xml:space="preserve"> </w:t>
      </w:r>
      <w:r w:rsidR="00B166C1" w:rsidRPr="007867CF">
        <w:rPr>
          <w:rFonts w:cs="Arial"/>
          <w:bCs/>
          <w:szCs w:val="24"/>
        </w:rPr>
        <w:t>previsto dal</w:t>
      </w:r>
      <w:r w:rsidR="00283CEB">
        <w:rPr>
          <w:rFonts w:cs="Arial"/>
          <w:bCs/>
          <w:szCs w:val="24"/>
        </w:rPr>
        <w:t xml:space="preserve"> citato </w:t>
      </w:r>
      <w:r w:rsidR="00B166C1" w:rsidRPr="007867CF">
        <w:rPr>
          <w:rFonts w:cs="Arial"/>
          <w:bCs/>
          <w:szCs w:val="24"/>
        </w:rPr>
        <w:t>art</w:t>
      </w:r>
      <w:r w:rsidR="00283CEB">
        <w:rPr>
          <w:rFonts w:cs="Arial"/>
          <w:bCs/>
          <w:szCs w:val="24"/>
        </w:rPr>
        <w:t>icolo</w:t>
      </w:r>
      <w:r w:rsidR="00B166C1" w:rsidRPr="007867CF">
        <w:rPr>
          <w:rFonts w:cs="Arial"/>
          <w:bCs/>
          <w:szCs w:val="24"/>
        </w:rPr>
        <w:t xml:space="preserve"> 21, c</w:t>
      </w:r>
      <w:r>
        <w:rPr>
          <w:rFonts w:cs="Arial"/>
          <w:bCs/>
          <w:szCs w:val="24"/>
        </w:rPr>
        <w:t>.</w:t>
      </w:r>
      <w:r w:rsidR="00B166C1" w:rsidRPr="007867CF">
        <w:rPr>
          <w:rFonts w:cs="Arial"/>
          <w:bCs/>
          <w:szCs w:val="24"/>
        </w:rPr>
        <w:t xml:space="preserve"> 1, in quanto tale disposizione presuppone </w:t>
      </w:r>
      <w:r w:rsidR="00283CEB">
        <w:rPr>
          <w:rFonts w:cs="Arial"/>
          <w:bCs/>
          <w:szCs w:val="24"/>
        </w:rPr>
        <w:t>l’esistenza de</w:t>
      </w:r>
      <w:r w:rsidR="00B166C1" w:rsidRPr="007867CF">
        <w:rPr>
          <w:rFonts w:cs="Arial"/>
          <w:bCs/>
          <w:szCs w:val="24"/>
        </w:rPr>
        <w:t>l limite di durata complessiva</w:t>
      </w:r>
      <w:r w:rsidR="00B166C1">
        <w:rPr>
          <w:rFonts w:cs="Arial"/>
          <w:bCs/>
          <w:szCs w:val="24"/>
        </w:rPr>
        <w:t xml:space="preserve"> dei contratti </w:t>
      </w:r>
      <w:r w:rsidR="00283CEB">
        <w:rPr>
          <w:rFonts w:cs="Arial"/>
          <w:bCs/>
          <w:szCs w:val="24"/>
        </w:rPr>
        <w:t>a termine (36 mesi all’epoca dei fatti</w:t>
      </w:r>
      <w:r>
        <w:rPr>
          <w:rFonts w:cs="Arial"/>
          <w:bCs/>
          <w:szCs w:val="24"/>
        </w:rPr>
        <w:t xml:space="preserve"> cui la sentenza si riferisce</w:t>
      </w:r>
      <w:r w:rsidR="00283CEB">
        <w:rPr>
          <w:rFonts w:cs="Arial"/>
          <w:bCs/>
          <w:szCs w:val="24"/>
        </w:rPr>
        <w:t>)</w:t>
      </w:r>
      <w:r w:rsidR="00B166C1" w:rsidRPr="007867CF">
        <w:rPr>
          <w:rFonts w:cs="Arial"/>
          <w:bCs/>
          <w:szCs w:val="24"/>
        </w:rPr>
        <w:t>, dal quale le attività stagionali sono espressamente escluse.</w:t>
      </w:r>
    </w:p>
    <w:p w14:paraId="6E3F0BD3" w14:textId="37F26162" w:rsidR="0094745C" w:rsidRPr="00891988" w:rsidRDefault="0094745C" w:rsidP="00B166C1">
      <w:pPr>
        <w:spacing w:after="120"/>
        <w:rPr>
          <w:rFonts w:cs="Arial"/>
          <w:bCs/>
          <w:szCs w:val="24"/>
        </w:rPr>
      </w:pPr>
      <w:r>
        <w:rPr>
          <w:rFonts w:cs="Arial"/>
          <w:bCs/>
          <w:szCs w:val="24"/>
        </w:rPr>
        <w:t>Nel rinviare a una attenta lettura della sentenza e a una prudente applicazione del principio ivi stabilito, di seguito si riassumono i termini del contenzioso e le motivazioni addotte dalla Corte.</w:t>
      </w:r>
    </w:p>
    <w:p w14:paraId="1D333FE0" w14:textId="5A5EE37A" w:rsidR="007D4FB7" w:rsidRPr="007D4FB7" w:rsidRDefault="00477838" w:rsidP="007D4FB7">
      <w:pPr>
        <w:spacing w:after="120"/>
        <w:rPr>
          <w:rFonts w:cs="Arial"/>
          <w:bCs/>
          <w:szCs w:val="24"/>
        </w:rPr>
      </w:pPr>
      <w:r>
        <w:rPr>
          <w:rFonts w:cs="Arial"/>
          <w:bCs/>
          <w:szCs w:val="24"/>
        </w:rPr>
        <w:t>Il pronunciamento</w:t>
      </w:r>
      <w:r w:rsidR="002129AB">
        <w:rPr>
          <w:rFonts w:cs="Arial"/>
          <w:bCs/>
          <w:szCs w:val="24"/>
        </w:rPr>
        <w:t xml:space="preserve"> si </w:t>
      </w:r>
      <w:r w:rsidR="007D4FB7" w:rsidRPr="007D4FB7">
        <w:rPr>
          <w:rFonts w:cs="Arial"/>
          <w:bCs/>
          <w:szCs w:val="24"/>
        </w:rPr>
        <w:t>rifer</w:t>
      </w:r>
      <w:r w:rsidR="002129AB">
        <w:rPr>
          <w:rFonts w:cs="Arial"/>
          <w:bCs/>
          <w:szCs w:val="24"/>
        </w:rPr>
        <w:t>isce</w:t>
      </w:r>
      <w:r w:rsidR="007D4FB7" w:rsidRPr="007D4FB7">
        <w:rPr>
          <w:rFonts w:cs="Arial"/>
          <w:bCs/>
          <w:szCs w:val="24"/>
        </w:rPr>
        <w:t xml:space="preserve"> alla disciplina vigente anteriormente alle modifiche introdotte dal </w:t>
      </w:r>
      <w:r>
        <w:rPr>
          <w:rFonts w:cs="Arial"/>
          <w:bCs/>
          <w:szCs w:val="24"/>
        </w:rPr>
        <w:t>c.d. decreto dignità (decreto-legge 12 luglio 2018, n. 87)</w:t>
      </w:r>
      <w:r w:rsidR="007D4FB7" w:rsidRPr="007D4FB7">
        <w:rPr>
          <w:rFonts w:cs="Arial"/>
          <w:bCs/>
          <w:szCs w:val="24"/>
        </w:rPr>
        <w:t>, quando il limite complessivo dei rapporti a termine era pari a 36 mesi</w:t>
      </w:r>
      <w:r>
        <w:rPr>
          <w:rFonts w:cs="Arial"/>
          <w:bCs/>
          <w:szCs w:val="24"/>
        </w:rPr>
        <w:t xml:space="preserve"> – ora 24 -</w:t>
      </w:r>
      <w:r w:rsidR="007D4FB7" w:rsidRPr="007D4FB7">
        <w:rPr>
          <w:rFonts w:cs="Arial"/>
          <w:bCs/>
          <w:szCs w:val="24"/>
        </w:rPr>
        <w:t xml:space="preserve"> e il numero massimo di proroghe pari a 5</w:t>
      </w:r>
      <w:r>
        <w:rPr>
          <w:rFonts w:cs="Arial"/>
          <w:bCs/>
          <w:szCs w:val="24"/>
        </w:rPr>
        <w:t xml:space="preserve"> -</w:t>
      </w:r>
      <w:r w:rsidR="007D4FB7" w:rsidRPr="007D4FB7">
        <w:rPr>
          <w:rFonts w:cs="Arial"/>
          <w:bCs/>
          <w:szCs w:val="24"/>
        </w:rPr>
        <w:t xml:space="preserve"> ora </w:t>
      </w:r>
      <w:r w:rsidR="002129AB">
        <w:rPr>
          <w:rFonts w:cs="Arial"/>
          <w:bCs/>
          <w:szCs w:val="24"/>
        </w:rPr>
        <w:t xml:space="preserve">portate </w:t>
      </w:r>
      <w:r w:rsidR="007D4FB7" w:rsidRPr="007D4FB7">
        <w:rPr>
          <w:rFonts w:cs="Arial"/>
          <w:bCs/>
          <w:szCs w:val="24"/>
        </w:rPr>
        <w:t>a 4</w:t>
      </w:r>
      <w:r w:rsidR="002129AB">
        <w:rPr>
          <w:rFonts w:cs="Arial"/>
          <w:bCs/>
          <w:szCs w:val="24"/>
        </w:rPr>
        <w:t xml:space="preserve">; nonché, prende in considerazione un settore produttivo diverso da quello turistico, ma </w:t>
      </w:r>
      <w:r>
        <w:rPr>
          <w:rFonts w:cs="Arial"/>
          <w:bCs/>
          <w:szCs w:val="24"/>
        </w:rPr>
        <w:t>anch’esso caratterizzato da stagionalità</w:t>
      </w:r>
      <w:r w:rsidR="007D4FB7" w:rsidRPr="007D4FB7">
        <w:rPr>
          <w:rFonts w:cs="Arial"/>
          <w:bCs/>
          <w:szCs w:val="24"/>
        </w:rPr>
        <w:t xml:space="preserve">. </w:t>
      </w:r>
    </w:p>
    <w:p w14:paraId="1110BEB3" w14:textId="648F056D" w:rsidR="00404ECB" w:rsidRPr="00891988" w:rsidRDefault="007D4FB7" w:rsidP="007D4FB7">
      <w:pPr>
        <w:spacing w:after="120"/>
        <w:rPr>
          <w:rFonts w:cs="Arial"/>
          <w:bCs/>
          <w:szCs w:val="24"/>
        </w:rPr>
      </w:pPr>
      <w:r w:rsidRPr="007D4FB7">
        <w:rPr>
          <w:rFonts w:cs="Arial"/>
          <w:bCs/>
          <w:szCs w:val="24"/>
        </w:rPr>
        <w:t xml:space="preserve">La vicenda trae origine da una controversia nella quale la Corte d’Appello di Milano aveva confermato la decisione di primo grado che aveva accertato il diritto del lavoratore alla conversione del rapporto di lavoro stagionale in rapporto a tempo indeterminato, nonché alla corresponsione di un’indennità risarcitoria, sul presupposto </w:t>
      </w:r>
      <w:r w:rsidR="00067F31">
        <w:rPr>
          <w:rFonts w:cs="Arial"/>
          <w:bCs/>
          <w:szCs w:val="24"/>
        </w:rPr>
        <w:t xml:space="preserve">che l’azienda avesse </w:t>
      </w:r>
      <w:r w:rsidRPr="007D4FB7">
        <w:rPr>
          <w:rFonts w:cs="Arial"/>
          <w:bCs/>
          <w:szCs w:val="24"/>
        </w:rPr>
        <w:t xml:space="preserve">superato </w:t>
      </w:r>
      <w:r w:rsidR="00067F31">
        <w:rPr>
          <w:rFonts w:cs="Arial"/>
          <w:bCs/>
          <w:szCs w:val="24"/>
        </w:rPr>
        <w:t>i</w:t>
      </w:r>
      <w:r w:rsidRPr="007D4FB7">
        <w:rPr>
          <w:rFonts w:cs="Arial"/>
          <w:bCs/>
          <w:szCs w:val="24"/>
        </w:rPr>
        <w:t xml:space="preserve">l limite massimo di </w:t>
      </w:r>
      <w:r w:rsidR="00477838">
        <w:rPr>
          <w:rFonts w:cs="Arial"/>
          <w:bCs/>
          <w:szCs w:val="24"/>
        </w:rPr>
        <w:t>cinque</w:t>
      </w:r>
      <w:r w:rsidRPr="007D4FB7">
        <w:rPr>
          <w:rFonts w:cs="Arial"/>
          <w:bCs/>
          <w:szCs w:val="24"/>
        </w:rPr>
        <w:t xml:space="preserve"> proroghe nell’arco di 36 mesi previsto dal</w:t>
      </w:r>
      <w:r w:rsidR="002129AB">
        <w:rPr>
          <w:rFonts w:cs="Arial"/>
          <w:bCs/>
          <w:szCs w:val="24"/>
        </w:rPr>
        <w:t xml:space="preserve"> citato </w:t>
      </w:r>
      <w:r w:rsidRPr="007D4FB7">
        <w:rPr>
          <w:rFonts w:cs="Arial"/>
          <w:bCs/>
          <w:szCs w:val="24"/>
        </w:rPr>
        <w:t>art</w:t>
      </w:r>
      <w:r w:rsidR="00BD6247">
        <w:rPr>
          <w:rFonts w:cs="Arial"/>
          <w:bCs/>
          <w:szCs w:val="24"/>
        </w:rPr>
        <w:t>icolo</w:t>
      </w:r>
      <w:r w:rsidRPr="007D4FB7">
        <w:rPr>
          <w:rFonts w:cs="Arial"/>
          <w:bCs/>
          <w:szCs w:val="24"/>
        </w:rPr>
        <w:t xml:space="preserve"> 21.</w:t>
      </w:r>
    </w:p>
    <w:p w14:paraId="27762BB4" w14:textId="1CE9CAF7" w:rsidR="007867CF" w:rsidRPr="007867CF" w:rsidRDefault="007867CF" w:rsidP="007867CF">
      <w:pPr>
        <w:spacing w:after="120"/>
        <w:rPr>
          <w:rFonts w:cs="Arial"/>
          <w:bCs/>
          <w:szCs w:val="24"/>
        </w:rPr>
      </w:pPr>
      <w:r w:rsidRPr="007867CF">
        <w:rPr>
          <w:rFonts w:cs="Arial"/>
          <w:bCs/>
          <w:szCs w:val="24"/>
        </w:rPr>
        <w:t xml:space="preserve">La Corte territoriale aveva ritenuto che tale limite fosse applicabile anche ai contratti stagionali, sul rilievo che, mentre il </w:t>
      </w:r>
      <w:r w:rsidR="00067F31">
        <w:rPr>
          <w:rFonts w:cs="Arial"/>
          <w:bCs/>
          <w:szCs w:val="24"/>
        </w:rPr>
        <w:t>l</w:t>
      </w:r>
      <w:r w:rsidRPr="007867CF">
        <w:rPr>
          <w:rFonts w:cs="Arial"/>
          <w:bCs/>
          <w:szCs w:val="24"/>
        </w:rPr>
        <w:t>egislatore aveva espressamente escluso tali contratti dal limite di durata complessiva e dalla regola del c.d. stop</w:t>
      </w:r>
      <w:r w:rsidR="00477838">
        <w:rPr>
          <w:rFonts w:cs="Arial"/>
          <w:bCs/>
          <w:szCs w:val="24"/>
        </w:rPr>
        <w:t>-</w:t>
      </w:r>
      <w:r w:rsidRPr="007867CF">
        <w:rPr>
          <w:rFonts w:cs="Arial"/>
          <w:bCs/>
          <w:szCs w:val="24"/>
        </w:rPr>
        <w:t>and</w:t>
      </w:r>
      <w:r w:rsidR="00477838">
        <w:rPr>
          <w:rFonts w:cs="Arial"/>
          <w:bCs/>
          <w:szCs w:val="24"/>
        </w:rPr>
        <w:t>-</w:t>
      </w:r>
      <w:r w:rsidRPr="007867CF">
        <w:rPr>
          <w:rFonts w:cs="Arial"/>
          <w:bCs/>
          <w:szCs w:val="24"/>
        </w:rPr>
        <w:t xml:space="preserve">go, non aveva previsto analoga deroga con riferimento al numero massimo di proroghe, con la conseguenza che tale limite doveva ritenersi operante anche per i rapporti di lavoro caratterizzati da stagionalità. </w:t>
      </w:r>
    </w:p>
    <w:p w14:paraId="4A7082C3" w14:textId="488C0F62" w:rsidR="00404ECB" w:rsidRDefault="007867CF" w:rsidP="007867CF">
      <w:pPr>
        <w:spacing w:after="120"/>
        <w:rPr>
          <w:rFonts w:cs="Arial"/>
          <w:bCs/>
          <w:szCs w:val="24"/>
        </w:rPr>
      </w:pPr>
      <w:r w:rsidRPr="007867CF">
        <w:rPr>
          <w:rFonts w:cs="Arial"/>
          <w:bCs/>
          <w:szCs w:val="24"/>
        </w:rPr>
        <w:lastRenderedPageBreak/>
        <w:t>La Corte di Cassazione</w:t>
      </w:r>
      <w:r w:rsidR="002129AB">
        <w:rPr>
          <w:rFonts w:cs="Arial"/>
          <w:bCs/>
          <w:szCs w:val="24"/>
        </w:rPr>
        <w:t xml:space="preserve"> giunge a conclusioni opposte </w:t>
      </w:r>
      <w:r w:rsidRPr="007867CF">
        <w:rPr>
          <w:rFonts w:cs="Arial"/>
          <w:bCs/>
          <w:szCs w:val="24"/>
        </w:rPr>
        <w:t>richiamando l’art</w:t>
      </w:r>
      <w:r w:rsidR="00BD6247">
        <w:rPr>
          <w:rFonts w:cs="Arial"/>
          <w:bCs/>
          <w:szCs w:val="24"/>
        </w:rPr>
        <w:t>icolo</w:t>
      </w:r>
      <w:r w:rsidRPr="007867CF">
        <w:rPr>
          <w:rFonts w:cs="Arial"/>
          <w:bCs/>
          <w:szCs w:val="24"/>
        </w:rPr>
        <w:t xml:space="preserve"> 19, c</w:t>
      </w:r>
      <w:r w:rsidR="0094745C">
        <w:rPr>
          <w:rFonts w:cs="Arial"/>
          <w:bCs/>
          <w:szCs w:val="24"/>
        </w:rPr>
        <w:t>.</w:t>
      </w:r>
      <w:r w:rsidRPr="007867CF">
        <w:rPr>
          <w:rFonts w:cs="Arial"/>
          <w:bCs/>
          <w:szCs w:val="24"/>
        </w:rPr>
        <w:t xml:space="preserve"> 2, </w:t>
      </w:r>
      <w:r w:rsidR="0094745C">
        <w:rPr>
          <w:rFonts w:cs="Arial"/>
          <w:bCs/>
          <w:szCs w:val="24"/>
        </w:rPr>
        <w:t xml:space="preserve">del </w:t>
      </w:r>
      <w:r w:rsidR="00BD6247">
        <w:rPr>
          <w:rFonts w:cs="Arial"/>
          <w:bCs/>
          <w:szCs w:val="24"/>
        </w:rPr>
        <w:t>decreto</w:t>
      </w:r>
      <w:r w:rsidR="0094745C">
        <w:rPr>
          <w:rFonts w:cs="Arial"/>
          <w:bCs/>
          <w:szCs w:val="24"/>
        </w:rPr>
        <w:t xml:space="preserve"> legislativo</w:t>
      </w:r>
      <w:r w:rsidRPr="007867CF">
        <w:rPr>
          <w:rFonts w:cs="Arial"/>
          <w:bCs/>
          <w:szCs w:val="24"/>
        </w:rPr>
        <w:t xml:space="preserve"> n. 81</w:t>
      </w:r>
      <w:r w:rsidR="0094745C">
        <w:rPr>
          <w:rFonts w:cs="Arial"/>
          <w:bCs/>
          <w:szCs w:val="24"/>
        </w:rPr>
        <w:t xml:space="preserve"> del </w:t>
      </w:r>
      <w:r w:rsidRPr="007867CF">
        <w:rPr>
          <w:rFonts w:cs="Arial"/>
          <w:bCs/>
          <w:szCs w:val="24"/>
        </w:rPr>
        <w:t>2015, che esclude espressamente le attività stagionali dal limite massimo di durata complessiva dei rapporti a termine</w:t>
      </w:r>
      <w:r w:rsidR="0094745C">
        <w:rPr>
          <w:rFonts w:cs="Arial"/>
          <w:bCs/>
          <w:szCs w:val="24"/>
        </w:rPr>
        <w:t xml:space="preserve"> (al tempo </w:t>
      </w:r>
      <w:r w:rsidR="00067F31">
        <w:rPr>
          <w:rFonts w:cs="Arial"/>
          <w:bCs/>
          <w:szCs w:val="24"/>
        </w:rPr>
        <w:t>36 mesi</w:t>
      </w:r>
      <w:r w:rsidR="0094745C">
        <w:rPr>
          <w:rFonts w:cs="Arial"/>
          <w:bCs/>
          <w:szCs w:val="24"/>
        </w:rPr>
        <w:t>)</w:t>
      </w:r>
      <w:r w:rsidR="00067F31">
        <w:rPr>
          <w:rFonts w:cs="Arial"/>
          <w:bCs/>
          <w:szCs w:val="24"/>
        </w:rPr>
        <w:t>;</w:t>
      </w:r>
      <w:r w:rsidRPr="007867CF">
        <w:rPr>
          <w:rFonts w:cs="Arial"/>
          <w:bCs/>
          <w:szCs w:val="24"/>
        </w:rPr>
        <w:t xml:space="preserve"> e l’art</w:t>
      </w:r>
      <w:r w:rsidR="00BD6247">
        <w:rPr>
          <w:rFonts w:cs="Arial"/>
          <w:bCs/>
          <w:szCs w:val="24"/>
        </w:rPr>
        <w:t>icolo</w:t>
      </w:r>
      <w:r w:rsidRPr="007867CF">
        <w:rPr>
          <w:rFonts w:cs="Arial"/>
          <w:bCs/>
          <w:szCs w:val="24"/>
        </w:rPr>
        <w:t xml:space="preserve"> 21 che disciplina le proroghe e i rinnovi, </w:t>
      </w:r>
      <w:r w:rsidR="0094745C">
        <w:rPr>
          <w:rFonts w:cs="Arial"/>
          <w:bCs/>
          <w:szCs w:val="24"/>
        </w:rPr>
        <w:t xml:space="preserve">all’epoca </w:t>
      </w:r>
      <w:r w:rsidRPr="007867CF">
        <w:rPr>
          <w:rFonts w:cs="Arial"/>
          <w:bCs/>
          <w:szCs w:val="24"/>
        </w:rPr>
        <w:t>prevedendo, al comma 1, che il termine del contratto a tempo determinato po</w:t>
      </w:r>
      <w:r w:rsidR="0094745C">
        <w:rPr>
          <w:rFonts w:cs="Arial"/>
          <w:bCs/>
          <w:szCs w:val="24"/>
        </w:rPr>
        <w:t>tesse</w:t>
      </w:r>
      <w:r w:rsidRPr="007867CF">
        <w:rPr>
          <w:rFonts w:cs="Arial"/>
          <w:bCs/>
          <w:szCs w:val="24"/>
        </w:rPr>
        <w:t xml:space="preserve"> essere prorogato, con il consenso del lavoratore, per un massimo di </w:t>
      </w:r>
      <w:r w:rsidR="0094745C">
        <w:rPr>
          <w:rFonts w:cs="Arial"/>
          <w:bCs/>
          <w:szCs w:val="24"/>
        </w:rPr>
        <w:t>cinque</w:t>
      </w:r>
      <w:r w:rsidRPr="007867CF">
        <w:rPr>
          <w:rFonts w:cs="Arial"/>
          <w:bCs/>
          <w:szCs w:val="24"/>
        </w:rPr>
        <w:t xml:space="preserve"> volte nell’arco di 36 mesi, e, al comma 2, che la regola del c.d. stop</w:t>
      </w:r>
      <w:r w:rsidR="0094745C">
        <w:rPr>
          <w:rFonts w:cs="Arial"/>
          <w:bCs/>
          <w:szCs w:val="24"/>
        </w:rPr>
        <w:t>-</w:t>
      </w:r>
      <w:r w:rsidRPr="007867CF">
        <w:rPr>
          <w:rFonts w:cs="Arial"/>
          <w:bCs/>
          <w:szCs w:val="24"/>
        </w:rPr>
        <w:t>and</w:t>
      </w:r>
      <w:r w:rsidR="0094745C">
        <w:rPr>
          <w:rFonts w:cs="Arial"/>
          <w:bCs/>
          <w:szCs w:val="24"/>
        </w:rPr>
        <w:t>-</w:t>
      </w:r>
      <w:r w:rsidRPr="007867CF">
        <w:rPr>
          <w:rFonts w:cs="Arial"/>
          <w:bCs/>
          <w:szCs w:val="24"/>
        </w:rPr>
        <w:t>go non si applichi ai lavoratori impiegati nelle attività stagionali.</w:t>
      </w:r>
    </w:p>
    <w:p w14:paraId="7C365B32" w14:textId="6DF4DB6B" w:rsidR="00D70A21" w:rsidRDefault="0094745C" w:rsidP="007867CF">
      <w:pPr>
        <w:spacing w:after="120"/>
        <w:rPr>
          <w:rFonts w:cs="Arial"/>
          <w:bCs/>
          <w:szCs w:val="24"/>
        </w:rPr>
      </w:pPr>
      <w:r>
        <w:rPr>
          <w:rFonts w:cs="Arial"/>
          <w:bCs/>
          <w:szCs w:val="24"/>
        </w:rPr>
        <w:t>Secondo l’avviso espresso dalla Corte di Cassazione, s</w:t>
      </w:r>
      <w:r w:rsidR="00D70A21">
        <w:rPr>
          <w:rFonts w:cs="Arial"/>
          <w:bCs/>
          <w:szCs w:val="24"/>
        </w:rPr>
        <w:t xml:space="preserve">e è vero che </w:t>
      </w:r>
      <w:r>
        <w:rPr>
          <w:rFonts w:cs="Arial"/>
          <w:bCs/>
          <w:szCs w:val="24"/>
        </w:rPr>
        <w:t>“</w:t>
      </w:r>
      <w:r w:rsidR="00D70A21">
        <w:rPr>
          <w:rFonts w:cs="Arial"/>
          <w:bCs/>
          <w:szCs w:val="24"/>
        </w:rPr>
        <w:t>i</w:t>
      </w:r>
      <w:r w:rsidR="00D70A21" w:rsidRPr="00D70A21">
        <w:rPr>
          <w:rFonts w:cs="Arial"/>
          <w:bCs/>
          <w:szCs w:val="24"/>
        </w:rPr>
        <w:t xml:space="preserve">l termine del contratto a tempo determinato può essere prorogato </w:t>
      </w:r>
      <w:r>
        <w:rPr>
          <w:rFonts w:cs="Arial"/>
          <w:bCs/>
          <w:szCs w:val="24"/>
        </w:rPr>
        <w:t>(</w:t>
      </w:r>
      <w:r w:rsidR="00D70A21">
        <w:rPr>
          <w:rFonts w:cs="Arial"/>
          <w:bCs/>
          <w:szCs w:val="24"/>
        </w:rPr>
        <w:t>…</w:t>
      </w:r>
      <w:r>
        <w:rPr>
          <w:rFonts w:cs="Arial"/>
          <w:bCs/>
          <w:szCs w:val="24"/>
        </w:rPr>
        <w:t>)</w:t>
      </w:r>
      <w:r w:rsidR="00D70A21" w:rsidRPr="00D70A21">
        <w:rPr>
          <w:rFonts w:cs="Arial"/>
          <w:bCs/>
          <w:szCs w:val="24"/>
        </w:rPr>
        <w:t xml:space="preserve"> solo quando la durata iniziale del contratto sia inferiore a </w:t>
      </w:r>
      <w:r w:rsidR="00067F31">
        <w:rPr>
          <w:rFonts w:cs="Arial"/>
          <w:bCs/>
          <w:szCs w:val="24"/>
        </w:rPr>
        <w:t>36</w:t>
      </w:r>
      <w:r w:rsidR="00D70A21" w:rsidRPr="00D70A21">
        <w:rPr>
          <w:rFonts w:cs="Arial"/>
          <w:bCs/>
          <w:szCs w:val="24"/>
        </w:rPr>
        <w:t xml:space="preserve"> mesi</w:t>
      </w:r>
      <w:r>
        <w:rPr>
          <w:rFonts w:cs="Arial"/>
          <w:bCs/>
          <w:szCs w:val="24"/>
        </w:rPr>
        <w:t>”</w:t>
      </w:r>
      <w:r w:rsidR="00D70A21">
        <w:rPr>
          <w:rFonts w:cs="Arial"/>
          <w:bCs/>
          <w:szCs w:val="24"/>
        </w:rPr>
        <w:t xml:space="preserve">, come afferma la norma, è pur vero che </w:t>
      </w:r>
      <w:r w:rsidR="00D70A21" w:rsidRPr="00D70A21">
        <w:rPr>
          <w:rFonts w:cs="Arial"/>
          <w:bCs/>
          <w:szCs w:val="24"/>
        </w:rPr>
        <w:t xml:space="preserve">l’esplicito riferimento ai </w:t>
      </w:r>
      <w:r w:rsidR="00BD6247">
        <w:rPr>
          <w:rFonts w:cs="Arial"/>
          <w:bCs/>
          <w:szCs w:val="24"/>
        </w:rPr>
        <w:t>36</w:t>
      </w:r>
      <w:r w:rsidR="00D70A21" w:rsidRPr="00D70A21">
        <w:rPr>
          <w:rFonts w:cs="Arial"/>
          <w:bCs/>
          <w:szCs w:val="24"/>
        </w:rPr>
        <w:t xml:space="preserve"> mesi quale termine massimo di durata delimita</w:t>
      </w:r>
      <w:r w:rsidR="00BD6247">
        <w:rPr>
          <w:rFonts w:cs="Arial"/>
          <w:bCs/>
          <w:szCs w:val="24"/>
        </w:rPr>
        <w:t xml:space="preserve"> </w:t>
      </w:r>
      <w:r w:rsidR="00067F31">
        <w:rPr>
          <w:rFonts w:cs="Arial"/>
          <w:bCs/>
          <w:szCs w:val="24"/>
        </w:rPr>
        <w:t>l’</w:t>
      </w:r>
      <w:r w:rsidR="00BD6247">
        <w:rPr>
          <w:rFonts w:cs="Arial"/>
          <w:bCs/>
          <w:szCs w:val="24"/>
        </w:rPr>
        <w:t>applicazione dell’istituto de</w:t>
      </w:r>
      <w:r w:rsidR="00D70A21" w:rsidRPr="00D70A21">
        <w:rPr>
          <w:rFonts w:cs="Arial"/>
          <w:bCs/>
          <w:szCs w:val="24"/>
        </w:rPr>
        <w:t xml:space="preserve">lle proroghe alle ipotesi in cui </w:t>
      </w:r>
      <w:r w:rsidR="00BD6247">
        <w:rPr>
          <w:rFonts w:cs="Arial"/>
          <w:bCs/>
          <w:szCs w:val="24"/>
        </w:rPr>
        <w:t>tale</w:t>
      </w:r>
      <w:r w:rsidR="00D70A21" w:rsidRPr="00D70A21">
        <w:rPr>
          <w:rFonts w:cs="Arial"/>
          <w:bCs/>
          <w:szCs w:val="24"/>
        </w:rPr>
        <w:t xml:space="preserve"> limite sia operativo e cogente, </w:t>
      </w:r>
      <w:r w:rsidR="00067F31">
        <w:rPr>
          <w:rFonts w:cs="Arial"/>
          <w:bCs/>
          <w:szCs w:val="24"/>
        </w:rPr>
        <w:t xml:space="preserve">esonerando </w:t>
      </w:r>
      <w:r w:rsidR="00D70A21" w:rsidRPr="00D70A21">
        <w:rPr>
          <w:rFonts w:cs="Arial"/>
          <w:bCs/>
          <w:szCs w:val="24"/>
        </w:rPr>
        <w:t xml:space="preserve">in tal modo </w:t>
      </w:r>
      <w:r w:rsidR="00283CEB">
        <w:rPr>
          <w:rFonts w:cs="Arial"/>
          <w:bCs/>
          <w:szCs w:val="24"/>
        </w:rPr>
        <w:t>dal</w:t>
      </w:r>
      <w:r w:rsidR="00D70A21" w:rsidRPr="00D70A21">
        <w:rPr>
          <w:rFonts w:cs="Arial"/>
          <w:bCs/>
          <w:szCs w:val="24"/>
        </w:rPr>
        <w:t>l’applica</w:t>
      </w:r>
      <w:r w:rsidR="00067F31">
        <w:rPr>
          <w:rFonts w:cs="Arial"/>
          <w:bCs/>
          <w:szCs w:val="24"/>
        </w:rPr>
        <w:t xml:space="preserve">zione </w:t>
      </w:r>
      <w:r w:rsidR="00D70A21" w:rsidRPr="00D70A21">
        <w:rPr>
          <w:rFonts w:cs="Arial"/>
          <w:bCs/>
          <w:szCs w:val="24"/>
        </w:rPr>
        <w:t xml:space="preserve">del </w:t>
      </w:r>
      <w:r w:rsidR="00776C5D">
        <w:rPr>
          <w:rFonts w:cs="Arial"/>
          <w:bCs/>
          <w:szCs w:val="24"/>
        </w:rPr>
        <w:t xml:space="preserve">limite massimo di proroghe </w:t>
      </w:r>
      <w:r w:rsidR="00D70A21" w:rsidRPr="00D70A21">
        <w:rPr>
          <w:rFonts w:cs="Arial"/>
          <w:bCs/>
          <w:szCs w:val="24"/>
        </w:rPr>
        <w:t>le fattispecie</w:t>
      </w:r>
      <w:r w:rsidR="00283CEB">
        <w:rPr>
          <w:rFonts w:cs="Arial"/>
          <w:bCs/>
          <w:szCs w:val="24"/>
        </w:rPr>
        <w:t>,</w:t>
      </w:r>
      <w:r w:rsidR="00D70A21" w:rsidRPr="00D70A21">
        <w:rPr>
          <w:rFonts w:cs="Arial"/>
          <w:bCs/>
          <w:szCs w:val="24"/>
        </w:rPr>
        <w:t xml:space="preserve"> </w:t>
      </w:r>
      <w:r w:rsidR="00776C5D">
        <w:rPr>
          <w:rFonts w:cs="Arial"/>
          <w:bCs/>
          <w:szCs w:val="24"/>
        </w:rPr>
        <w:t>come quelle stagionali</w:t>
      </w:r>
      <w:r w:rsidR="00283CEB">
        <w:rPr>
          <w:rFonts w:cs="Arial"/>
          <w:bCs/>
          <w:szCs w:val="24"/>
        </w:rPr>
        <w:t>,</w:t>
      </w:r>
      <w:r w:rsidR="00067F31">
        <w:rPr>
          <w:rFonts w:cs="Arial"/>
          <w:bCs/>
          <w:szCs w:val="24"/>
        </w:rPr>
        <w:t xml:space="preserve"> per le quali, appunto, non vige il limite dei 36 mesi</w:t>
      </w:r>
      <w:r w:rsidR="00D70A21" w:rsidRPr="00D70A21">
        <w:rPr>
          <w:rFonts w:cs="Arial"/>
          <w:bCs/>
          <w:szCs w:val="24"/>
        </w:rPr>
        <w:t xml:space="preserve">. </w:t>
      </w:r>
    </w:p>
    <w:p w14:paraId="1F4097A8" w14:textId="65927C6C" w:rsidR="00776C5D" w:rsidRDefault="00776C5D" w:rsidP="007867CF">
      <w:pPr>
        <w:spacing w:after="120"/>
        <w:rPr>
          <w:rFonts w:cs="Arial"/>
          <w:bCs/>
          <w:szCs w:val="24"/>
        </w:rPr>
      </w:pPr>
      <w:r>
        <w:rPr>
          <w:rFonts w:cs="Arial"/>
          <w:bCs/>
          <w:szCs w:val="24"/>
        </w:rPr>
        <w:t>Aggiunge la Corte che l</w:t>
      </w:r>
      <w:r w:rsidRPr="00776C5D">
        <w:rPr>
          <w:rFonts w:cs="Arial"/>
          <w:bCs/>
          <w:szCs w:val="24"/>
        </w:rPr>
        <w:t xml:space="preserve">a disciplina delle proroghe è, infatti, </w:t>
      </w:r>
      <w:r w:rsidR="00067F31">
        <w:rPr>
          <w:rFonts w:cs="Arial"/>
          <w:bCs/>
          <w:szCs w:val="24"/>
        </w:rPr>
        <w:t xml:space="preserve">riferita a quei contratti a termine che </w:t>
      </w:r>
      <w:r w:rsidRPr="00776C5D">
        <w:rPr>
          <w:rFonts w:cs="Arial"/>
          <w:bCs/>
          <w:szCs w:val="24"/>
        </w:rPr>
        <w:t>non p</w:t>
      </w:r>
      <w:r w:rsidR="00067F31">
        <w:rPr>
          <w:rFonts w:cs="Arial"/>
          <w:bCs/>
          <w:szCs w:val="24"/>
        </w:rPr>
        <w:t>ossono</w:t>
      </w:r>
      <w:r w:rsidRPr="00776C5D">
        <w:rPr>
          <w:rFonts w:cs="Arial"/>
          <w:bCs/>
          <w:szCs w:val="24"/>
        </w:rPr>
        <w:t xml:space="preserve">, comunque, superare i </w:t>
      </w:r>
      <w:r>
        <w:rPr>
          <w:rFonts w:cs="Arial"/>
          <w:bCs/>
          <w:szCs w:val="24"/>
        </w:rPr>
        <w:t>36</w:t>
      </w:r>
      <w:r w:rsidRPr="00776C5D">
        <w:rPr>
          <w:rFonts w:cs="Arial"/>
          <w:bCs/>
          <w:szCs w:val="24"/>
        </w:rPr>
        <w:t xml:space="preserve"> mesi, e le proroghe sono consentite unicamente nell’ipotesi in cui il termine inizialmente apposto al contratto sia al di sotto dei 36 mesi </w:t>
      </w:r>
      <w:r w:rsidR="00B166C1">
        <w:rPr>
          <w:rFonts w:cs="Arial"/>
          <w:bCs/>
          <w:szCs w:val="24"/>
        </w:rPr>
        <w:t>(</w:t>
      </w:r>
      <w:r w:rsidRPr="00776C5D">
        <w:rPr>
          <w:rFonts w:cs="Arial"/>
          <w:bCs/>
          <w:szCs w:val="24"/>
        </w:rPr>
        <w:t>e purché le proroghe medesime, non determinino il superamento del confine temporale</w:t>
      </w:r>
      <w:r w:rsidR="00B166C1">
        <w:rPr>
          <w:rFonts w:cs="Arial"/>
          <w:bCs/>
          <w:szCs w:val="24"/>
        </w:rPr>
        <w:t xml:space="preserve"> dei 36 mesi)</w:t>
      </w:r>
      <w:r w:rsidRPr="00776C5D">
        <w:rPr>
          <w:rFonts w:cs="Arial"/>
          <w:bCs/>
          <w:szCs w:val="24"/>
        </w:rPr>
        <w:t>.</w:t>
      </w:r>
    </w:p>
    <w:p w14:paraId="57453E7A" w14:textId="0C4491C2" w:rsidR="00D70A21" w:rsidRPr="00891988" w:rsidRDefault="00D70A21" w:rsidP="007867CF">
      <w:pPr>
        <w:spacing w:after="120"/>
        <w:rPr>
          <w:rFonts w:cs="Arial"/>
          <w:bCs/>
          <w:szCs w:val="24"/>
        </w:rPr>
      </w:pPr>
      <w:r>
        <w:rPr>
          <w:rFonts w:cs="Arial"/>
          <w:bCs/>
          <w:szCs w:val="24"/>
        </w:rPr>
        <w:t xml:space="preserve">Il fatto che il legislatore non abbia esplicitamente previsto l’eccezione del numero di proroghe per le attività stagionali (come ha fatto per altri istituti) </w:t>
      </w:r>
      <w:r w:rsidRPr="0094745C">
        <w:rPr>
          <w:rFonts w:cs="Arial"/>
          <w:bCs/>
          <w:szCs w:val="24"/>
        </w:rPr>
        <w:t xml:space="preserve">“può dirsi diretta conseguenza della estraneità di questa categoria rispetto al limite dei </w:t>
      </w:r>
      <w:r w:rsidR="00067F31" w:rsidRPr="0094745C">
        <w:rPr>
          <w:rFonts w:cs="Arial"/>
          <w:bCs/>
          <w:szCs w:val="24"/>
        </w:rPr>
        <w:t>36</w:t>
      </w:r>
      <w:r w:rsidRPr="0094745C">
        <w:rPr>
          <w:rFonts w:cs="Arial"/>
          <w:bCs/>
          <w:szCs w:val="24"/>
        </w:rPr>
        <w:t xml:space="preserve"> mesi”,</w:t>
      </w:r>
      <w:r>
        <w:rPr>
          <w:rFonts w:cs="Arial"/>
          <w:bCs/>
          <w:szCs w:val="24"/>
        </w:rPr>
        <w:t xml:space="preserve"> afferma la sentenza</w:t>
      </w:r>
      <w:r w:rsidRPr="00D70A21">
        <w:rPr>
          <w:rFonts w:cs="Arial"/>
          <w:bCs/>
          <w:szCs w:val="24"/>
        </w:rPr>
        <w:t xml:space="preserve">. </w:t>
      </w:r>
    </w:p>
    <w:p w14:paraId="59555359" w14:textId="0075DEEC" w:rsidR="00404ECB" w:rsidRPr="00891988" w:rsidRDefault="00776C5D" w:rsidP="007867CF">
      <w:pPr>
        <w:spacing w:after="120"/>
        <w:rPr>
          <w:rFonts w:cs="Arial"/>
          <w:bCs/>
          <w:szCs w:val="24"/>
        </w:rPr>
      </w:pPr>
      <w:r>
        <w:rPr>
          <w:rFonts w:cs="Arial"/>
          <w:bCs/>
          <w:szCs w:val="24"/>
        </w:rPr>
        <w:t>L’interpretazione contraria (adottata in primo grado)</w:t>
      </w:r>
      <w:r w:rsidR="007867CF" w:rsidRPr="007867CF">
        <w:rPr>
          <w:rFonts w:cs="Arial"/>
          <w:bCs/>
          <w:szCs w:val="24"/>
        </w:rPr>
        <w:t xml:space="preserve"> determinerebbe un esito irragionevole</w:t>
      </w:r>
      <w:r>
        <w:rPr>
          <w:rFonts w:cs="Arial"/>
          <w:bCs/>
          <w:szCs w:val="24"/>
        </w:rPr>
        <w:t xml:space="preserve">: </w:t>
      </w:r>
      <w:r w:rsidR="007867CF" w:rsidRPr="007867CF">
        <w:rPr>
          <w:rFonts w:cs="Arial"/>
          <w:bCs/>
          <w:szCs w:val="24"/>
        </w:rPr>
        <w:t>renderebbe applicabile ai contratti stagionali un limite numerico alle proroghe, pur consentendo, per espressa previsione normativa, un numero potenzialmente illimitato di rinnovi anche senza soluzione di continuità, in virtù della deroga alla regola dello stop</w:t>
      </w:r>
      <w:r w:rsidR="0094745C">
        <w:rPr>
          <w:rFonts w:cs="Arial"/>
          <w:bCs/>
          <w:szCs w:val="24"/>
        </w:rPr>
        <w:t>-</w:t>
      </w:r>
      <w:r w:rsidR="007867CF" w:rsidRPr="007867CF">
        <w:rPr>
          <w:rFonts w:cs="Arial"/>
          <w:bCs/>
          <w:szCs w:val="24"/>
        </w:rPr>
        <w:t>and</w:t>
      </w:r>
      <w:r w:rsidR="0094745C">
        <w:rPr>
          <w:rFonts w:cs="Arial"/>
          <w:bCs/>
          <w:szCs w:val="24"/>
        </w:rPr>
        <w:t>-</w:t>
      </w:r>
      <w:r w:rsidR="007867CF" w:rsidRPr="007867CF">
        <w:rPr>
          <w:rFonts w:cs="Arial"/>
          <w:bCs/>
          <w:szCs w:val="24"/>
        </w:rPr>
        <w:t xml:space="preserve">go. </w:t>
      </w:r>
    </w:p>
    <w:p w14:paraId="0FFD9332" w14:textId="77777777" w:rsidR="0094745C" w:rsidRDefault="0094745C" w:rsidP="007867CF">
      <w:pPr>
        <w:spacing w:after="120"/>
        <w:rPr>
          <w:rFonts w:cs="Arial"/>
          <w:bCs/>
          <w:szCs w:val="24"/>
        </w:rPr>
      </w:pPr>
      <w:r>
        <w:rPr>
          <w:rFonts w:cs="Arial"/>
          <w:bCs/>
          <w:szCs w:val="24"/>
        </w:rPr>
        <w:t>Sotto l’aspetto della compatibilità con l’ordinamento comunitario, secondo la Cassazione t</w:t>
      </w:r>
      <w:r w:rsidR="00115AAB">
        <w:rPr>
          <w:rFonts w:cs="Arial"/>
          <w:bCs/>
          <w:szCs w:val="24"/>
        </w:rPr>
        <w:t>ale soluzione interpretativa appare</w:t>
      </w:r>
      <w:r w:rsidR="00B166C1">
        <w:rPr>
          <w:rFonts w:cs="Arial"/>
          <w:bCs/>
          <w:szCs w:val="24"/>
        </w:rPr>
        <w:t>, inoltre,</w:t>
      </w:r>
      <w:r w:rsidR="00115AAB">
        <w:rPr>
          <w:rFonts w:cs="Arial"/>
          <w:bCs/>
          <w:szCs w:val="24"/>
        </w:rPr>
        <w:t xml:space="preserve"> pienamente </w:t>
      </w:r>
      <w:r w:rsidR="00115AAB" w:rsidRPr="00115AAB">
        <w:rPr>
          <w:rFonts w:cs="Arial"/>
          <w:bCs/>
          <w:szCs w:val="24"/>
        </w:rPr>
        <w:t>compatibil</w:t>
      </w:r>
      <w:r w:rsidR="00115AAB">
        <w:rPr>
          <w:rFonts w:cs="Arial"/>
          <w:bCs/>
          <w:szCs w:val="24"/>
        </w:rPr>
        <w:t>e</w:t>
      </w:r>
      <w:r w:rsidR="00115AAB" w:rsidRPr="00115AAB">
        <w:rPr>
          <w:rFonts w:cs="Arial"/>
          <w:bCs/>
          <w:szCs w:val="24"/>
        </w:rPr>
        <w:t xml:space="preserve"> con la disciplina </w:t>
      </w:r>
      <w:r w:rsidR="00115AAB">
        <w:rPr>
          <w:rFonts w:cs="Arial"/>
          <w:bCs/>
          <w:szCs w:val="24"/>
        </w:rPr>
        <w:t>e i limiti dettati dal</w:t>
      </w:r>
      <w:r w:rsidR="00115AAB" w:rsidRPr="00115AAB">
        <w:rPr>
          <w:rFonts w:cs="Arial"/>
          <w:bCs/>
          <w:szCs w:val="24"/>
        </w:rPr>
        <w:t xml:space="preserve">la clausola n. 5 dell’Accordo quadro sul lavoro a tempo determinato allegato alla direttiva 1999/70/CE </w:t>
      </w:r>
      <w:r w:rsidR="00115AAB">
        <w:rPr>
          <w:rFonts w:cs="Arial"/>
          <w:bCs/>
          <w:szCs w:val="24"/>
        </w:rPr>
        <w:t xml:space="preserve">che </w:t>
      </w:r>
      <w:r w:rsidR="00115AAB" w:rsidRPr="00115AAB">
        <w:rPr>
          <w:rFonts w:cs="Arial"/>
          <w:bCs/>
          <w:szCs w:val="24"/>
        </w:rPr>
        <w:t xml:space="preserve">individua, tra le misure di prevenzione degli abusi, la presenza di “ragioni obiettive” per la giustificazione del rinnovo dei contratti </w:t>
      </w:r>
      <w:r w:rsidR="00B166C1">
        <w:rPr>
          <w:rFonts w:cs="Arial"/>
          <w:bCs/>
          <w:szCs w:val="24"/>
        </w:rPr>
        <w:t>a termine</w:t>
      </w:r>
      <w:r w:rsidR="00115AAB">
        <w:rPr>
          <w:rFonts w:cs="Arial"/>
          <w:bCs/>
          <w:szCs w:val="24"/>
        </w:rPr>
        <w:t xml:space="preserve">. </w:t>
      </w:r>
    </w:p>
    <w:p w14:paraId="0385D324" w14:textId="4EB4FE1D" w:rsidR="00115AAB" w:rsidRDefault="0094745C" w:rsidP="007867CF">
      <w:pPr>
        <w:spacing w:after="120"/>
        <w:rPr>
          <w:rFonts w:cs="Arial"/>
          <w:bCs/>
          <w:szCs w:val="24"/>
        </w:rPr>
      </w:pPr>
      <w:r>
        <w:rPr>
          <w:rFonts w:cs="Arial"/>
          <w:bCs/>
          <w:szCs w:val="24"/>
        </w:rPr>
        <w:t xml:space="preserve">In tal senso </w:t>
      </w:r>
      <w:r w:rsidR="00115AAB">
        <w:rPr>
          <w:rFonts w:cs="Arial"/>
          <w:bCs/>
          <w:szCs w:val="24"/>
        </w:rPr>
        <w:t xml:space="preserve">la Corte afferma che </w:t>
      </w:r>
      <w:r w:rsidR="00115AAB" w:rsidRPr="0094745C">
        <w:rPr>
          <w:rFonts w:cs="Arial"/>
          <w:bCs/>
          <w:szCs w:val="24"/>
        </w:rPr>
        <w:t xml:space="preserve">“il carattere stagionale dell'attività può già di per sé costituire una ragione oggettiva che giustifica il ricorso al lavoro a tempo determinato, essendo la stagionalità riconosciuta nell’ordinamento nazionale </w:t>
      </w:r>
      <w:r>
        <w:rPr>
          <w:rFonts w:cs="Arial"/>
          <w:bCs/>
          <w:szCs w:val="24"/>
        </w:rPr>
        <w:t>(</w:t>
      </w:r>
      <w:r w:rsidR="00115AAB" w:rsidRPr="0094745C">
        <w:rPr>
          <w:rFonts w:cs="Arial"/>
          <w:bCs/>
          <w:szCs w:val="24"/>
        </w:rPr>
        <w:t>…</w:t>
      </w:r>
      <w:r>
        <w:rPr>
          <w:rFonts w:cs="Arial"/>
          <w:bCs/>
          <w:szCs w:val="24"/>
        </w:rPr>
        <w:t>)</w:t>
      </w:r>
      <w:r w:rsidR="00115AAB" w:rsidRPr="0094745C">
        <w:rPr>
          <w:rFonts w:cs="Arial"/>
          <w:bCs/>
          <w:szCs w:val="24"/>
        </w:rPr>
        <w:t xml:space="preserve"> solo in ipotesi tipiche e tassative, ricomprese nelle attività elencate dal d.P.R. 1525/1963 e nelle ulteriori ipotesi tipizzate dai contratti collettivi”</w:t>
      </w:r>
      <w:r w:rsidR="00115AAB">
        <w:rPr>
          <w:rFonts w:cs="Arial"/>
          <w:bCs/>
          <w:szCs w:val="24"/>
        </w:rPr>
        <w:t>.</w:t>
      </w:r>
    </w:p>
    <w:p w14:paraId="78FC7C26" w14:textId="77777777" w:rsidR="00404ECB" w:rsidRPr="00891988" w:rsidRDefault="00404ECB" w:rsidP="00404ECB">
      <w:pPr>
        <w:spacing w:after="120"/>
        <w:rPr>
          <w:rFonts w:cs="Arial"/>
          <w:szCs w:val="24"/>
        </w:rPr>
      </w:pPr>
      <w:r w:rsidRPr="00891988">
        <w:rPr>
          <w:rFonts w:cs="Arial"/>
          <w:szCs w:val="24"/>
        </w:rPr>
        <w:t>Distinti saluti.</w:t>
      </w:r>
    </w:p>
    <w:p w14:paraId="0933B11F" w14:textId="6967E176" w:rsidR="00404ECB" w:rsidRPr="00891988" w:rsidRDefault="00404ECB" w:rsidP="00404ECB">
      <w:pPr>
        <w:rPr>
          <w:rFonts w:cs="Arial"/>
          <w:szCs w:val="24"/>
        </w:rPr>
      </w:pP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t>Il Direttore Generale</w:t>
      </w:r>
    </w:p>
    <w:p w14:paraId="1017BF18" w14:textId="07E5AADF" w:rsidR="00404ECB" w:rsidRPr="00891988" w:rsidRDefault="00404ECB" w:rsidP="00891988">
      <w:pPr>
        <w:spacing w:after="120"/>
        <w:rPr>
          <w:rFonts w:cs="Arial"/>
          <w:szCs w:val="24"/>
        </w:rPr>
      </w:pP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r>
      <w:r w:rsidRPr="00891988">
        <w:rPr>
          <w:rFonts w:cs="Arial"/>
          <w:szCs w:val="24"/>
        </w:rPr>
        <w:tab/>
        <w:t>(Dr. Alessandro Massimo Nucara)</w:t>
      </w:r>
    </w:p>
    <w:p w14:paraId="5AFC8F54" w14:textId="0626AB45" w:rsidR="00891988" w:rsidRPr="00CD6AA2" w:rsidRDefault="00891988" w:rsidP="00CD6AA2">
      <w:pPr>
        <w:spacing w:after="120"/>
        <w:rPr>
          <w:rFonts w:cs="Arial"/>
          <w:b/>
          <w:bCs/>
          <w:sz w:val="20"/>
        </w:rPr>
      </w:pPr>
      <w:r w:rsidRPr="00891988">
        <w:rPr>
          <w:rFonts w:cs="Arial"/>
          <w:b/>
          <w:bCs/>
          <w:sz w:val="20"/>
        </w:rPr>
        <w:t>allegato</w:t>
      </w:r>
    </w:p>
    <w:sectPr w:rsidR="00891988" w:rsidRPr="00CD6AA2" w:rsidSect="00404ECB">
      <w:headerReference w:type="even" r:id="rId12"/>
      <w:headerReference w:type="default" r:id="rId13"/>
      <w:footerReference w:type="even" r:id="rId14"/>
      <w:footerReference w:type="default" r:id="rId15"/>
      <w:headerReference w:type="first" r:id="rId16"/>
      <w:footerReference w:type="first" r:id="rId17"/>
      <w:pgSz w:w="11906" w:h="16838" w:code="9"/>
      <w:pgMar w:top="1418" w:right="1134" w:bottom="1134" w:left="1134" w:header="68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304B3" w14:textId="77777777" w:rsidR="000503BF" w:rsidRDefault="000503BF" w:rsidP="00771A7A">
      <w:r>
        <w:separator/>
      </w:r>
    </w:p>
  </w:endnote>
  <w:endnote w:type="continuationSeparator" w:id="0">
    <w:p w14:paraId="698984BB" w14:textId="77777777" w:rsidR="000503BF" w:rsidRDefault="000503BF" w:rsidP="00771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Open Sans SemiBold">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8914B" w14:textId="77777777" w:rsidR="008A4002" w:rsidRDefault="008A400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8E3B7" w14:textId="77777777" w:rsidR="008A4002" w:rsidRDefault="008A400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E14CC" w14:textId="77777777" w:rsidR="00F347BE" w:rsidRPr="0047576E" w:rsidRDefault="00404ECB" w:rsidP="00F347BE">
    <w:pPr>
      <w:pStyle w:val="Pidipagina"/>
      <w:tabs>
        <w:tab w:val="clear" w:pos="4819"/>
        <w:tab w:val="clear" w:pos="9638"/>
        <w:tab w:val="left" w:pos="3200"/>
        <w:tab w:val="left" w:pos="4650"/>
      </w:tabs>
      <w:ind w:firstLine="0"/>
      <w:rPr>
        <w:rFonts w:ascii="Open Sans" w:hAnsi="Open Sans" w:cs="Open Sans"/>
        <w:color w:val="005695"/>
        <w:sz w:val="18"/>
        <w:szCs w:val="18"/>
      </w:rPr>
    </w:pPr>
    <w:r>
      <w:rPr>
        <w:rFonts w:ascii="Open Sans" w:hAnsi="Open Sans" w:cs="Open Sans"/>
        <w:noProof/>
        <w:color w:val="005695"/>
        <w:sz w:val="18"/>
        <w:szCs w:val="18"/>
      </w:rPr>
      <mc:AlternateContent>
        <mc:Choice Requires="wps">
          <w:drawing>
            <wp:anchor distT="0" distB="0" distL="114300" distR="114300" simplePos="0" relativeHeight="251661312" behindDoc="0" locked="0" layoutInCell="1" allowOverlap="1" wp14:anchorId="582FB2E4" wp14:editId="10CE6053">
              <wp:simplePos x="0" y="0"/>
              <wp:positionH relativeFrom="column">
                <wp:posOffset>-9525</wp:posOffset>
              </wp:positionH>
              <wp:positionV relativeFrom="paragraph">
                <wp:posOffset>11218</wp:posOffset>
              </wp:positionV>
              <wp:extent cx="6064416" cy="0"/>
              <wp:effectExtent l="0" t="0" r="6350" b="12700"/>
              <wp:wrapNone/>
              <wp:docPr id="1365884578" name="Connettore dritto 3"/>
              <wp:cNvGraphicFramePr/>
              <a:graphic xmlns:a="http://schemas.openxmlformats.org/drawingml/2006/main">
                <a:graphicData uri="http://schemas.microsoft.com/office/word/2010/wordprocessingShape">
                  <wps:wsp>
                    <wps:cNvCnPr/>
                    <wps:spPr>
                      <a:xfrm flipH="1">
                        <a:off x="0" y="0"/>
                        <a:ext cx="606441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5B4F4B" id="Connettore dritto 3"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75pt,.9pt" to="476.7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" strokecolor="#5b9bd5 [3204]" strokeweight=".5pt">
              <v:stroke joinstyle="miter"/>
            </v:line>
          </w:pict>
        </mc:Fallback>
      </mc:AlternateContent>
    </w:r>
  </w:p>
  <w:tbl>
    <w:tblPr>
      <w:tblStyle w:val="Grigliatabell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1985"/>
      <w:gridCol w:w="2063"/>
      <w:gridCol w:w="1752"/>
    </w:tblGrid>
    <w:tr w:rsidR="00F347BE" w14:paraId="6A1B1FC5" w14:textId="77777777" w:rsidTr="00DB3D92">
      <w:tc>
        <w:tcPr>
          <w:tcW w:w="3686" w:type="dxa"/>
        </w:tcPr>
        <w:p w14:paraId="3C00C501"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Pr>
              <w:rFonts w:ascii="Open Sans SemiBold" w:hAnsi="Open Sans SemiBold" w:cs="Open Sans SemiBold"/>
              <w:b/>
              <w:color w:val="005695"/>
              <w:sz w:val="18"/>
              <w:szCs w:val="18"/>
            </w:rPr>
            <w:t>FEDERAZIONE DELLE ASSOCIAZIONI</w:t>
          </w:r>
        </w:p>
      </w:tc>
      <w:tc>
        <w:tcPr>
          <w:tcW w:w="1985" w:type="dxa"/>
        </w:tcPr>
        <w:p w14:paraId="04928A9D"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via Toscana 1</w:t>
          </w:r>
          <w:r>
            <w:rPr>
              <w:rFonts w:ascii="Open Sans" w:hAnsi="Open Sans" w:cs="Open Sans"/>
              <w:color w:val="005695"/>
              <w:sz w:val="18"/>
              <w:szCs w:val="18"/>
            </w:rPr>
            <w:t xml:space="preserve">                  </w:t>
          </w:r>
        </w:p>
      </w:tc>
      <w:tc>
        <w:tcPr>
          <w:tcW w:w="2063" w:type="dxa"/>
        </w:tcPr>
        <w:p w14:paraId="04DC54F2"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federalberghi.it</w:t>
          </w:r>
        </w:p>
      </w:tc>
      <w:tc>
        <w:tcPr>
          <w:tcW w:w="1752" w:type="dxa"/>
          <w:vMerge w:val="restart"/>
        </w:tcPr>
        <w:p w14:paraId="13B38C54"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Pr>
              <w:rFonts w:ascii="Open Sans" w:hAnsi="Open Sans" w:cs="Open Sans"/>
              <w:noProof/>
              <w:color w:val="005695"/>
              <w:sz w:val="18"/>
              <w:szCs w:val="18"/>
            </w:rPr>
            <w:drawing>
              <wp:anchor distT="0" distB="0" distL="114300" distR="114300" simplePos="0" relativeHeight="251663360" behindDoc="0" locked="0" layoutInCell="1" allowOverlap="1" wp14:anchorId="5493D13B" wp14:editId="45CE9CA0">
                <wp:simplePos x="0" y="0"/>
                <wp:positionH relativeFrom="column">
                  <wp:posOffset>520700</wp:posOffset>
                </wp:positionH>
                <wp:positionV relativeFrom="paragraph">
                  <wp:posOffset>-70485</wp:posOffset>
                </wp:positionV>
                <wp:extent cx="482600" cy="482600"/>
                <wp:effectExtent l="0" t="0" r="0" b="0"/>
                <wp:wrapNone/>
                <wp:docPr id="737530470" name="Immagine 2" descr="Immagine che contiene testo, Carattere, Elementi grafici,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530470" name="Immagine 2" descr="Immagine che contiene testo, Carattere, Elementi grafici, logo&#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482600" cy="482600"/>
                        </a:xfrm>
                        <a:prstGeom prst="rect">
                          <a:avLst/>
                        </a:prstGeom>
                      </pic:spPr>
                    </pic:pic>
                  </a:graphicData>
                </a:graphic>
                <wp14:sizeRelH relativeFrom="page">
                  <wp14:pctWidth>0</wp14:pctWidth>
                </wp14:sizeRelH>
                <wp14:sizeRelV relativeFrom="page">
                  <wp14:pctHeight>0</wp14:pctHeight>
                </wp14:sizeRelV>
              </wp:anchor>
            </w:drawing>
          </w:r>
        </w:p>
      </w:tc>
    </w:tr>
    <w:tr w:rsidR="00F347BE" w14:paraId="5FE0F7EB" w14:textId="77777777" w:rsidTr="00DB3D92">
      <w:tc>
        <w:tcPr>
          <w:tcW w:w="3686" w:type="dxa"/>
        </w:tcPr>
        <w:p w14:paraId="2D9EBDAE"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BA5460">
            <w:rPr>
              <w:rFonts w:ascii="Open Sans SemiBold" w:hAnsi="Open Sans SemiBold" w:cs="Open Sans SemiBold"/>
              <w:b/>
              <w:color w:val="005695"/>
              <w:sz w:val="18"/>
              <w:szCs w:val="18"/>
            </w:rPr>
            <w:t>ITALIANE ALBERGHI E TURISMO</w:t>
          </w:r>
        </w:p>
      </w:tc>
      <w:tc>
        <w:tcPr>
          <w:tcW w:w="1985" w:type="dxa"/>
        </w:tcPr>
        <w:p w14:paraId="3DDF9261" w14:textId="72386275"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00187 Roma</w:t>
          </w:r>
          <w:r w:rsidRPr="008F2C1C">
            <w:rPr>
              <w:rFonts w:ascii="Open Sans" w:hAnsi="Open Sans" w:cs="Open Sans"/>
              <w:sz w:val="18"/>
              <w:szCs w:val="18"/>
            </w:rPr>
            <w:t xml:space="preserve">    </w:t>
          </w:r>
          <w:r>
            <w:rPr>
              <w:rFonts w:ascii="Open Sans" w:hAnsi="Open Sans" w:cs="Open Sans"/>
              <w:sz w:val="18"/>
              <w:szCs w:val="18"/>
            </w:rPr>
            <w:t xml:space="preserve">           </w:t>
          </w:r>
          <w:r w:rsidRPr="008F2C1C">
            <w:rPr>
              <w:rFonts w:ascii="Open Sans" w:hAnsi="Open Sans" w:cs="Open Sans"/>
              <w:sz w:val="18"/>
              <w:szCs w:val="18"/>
            </w:rPr>
            <w:t xml:space="preserve">  </w:t>
          </w:r>
          <w:r>
            <w:rPr>
              <w:rFonts w:ascii="Open Sans" w:hAnsi="Open Sans" w:cs="Open Sans"/>
              <w:sz w:val="18"/>
              <w:szCs w:val="18"/>
            </w:rPr>
            <w:t xml:space="preserve"> </w:t>
          </w:r>
          <w:r w:rsidRPr="008F2C1C">
            <w:rPr>
              <w:rFonts w:ascii="Open Sans" w:hAnsi="Open Sans" w:cs="Open Sans"/>
              <w:sz w:val="18"/>
              <w:szCs w:val="18"/>
            </w:rPr>
            <w:t xml:space="preserve">  </w:t>
          </w:r>
        </w:p>
      </w:tc>
      <w:tc>
        <w:tcPr>
          <w:tcW w:w="2063" w:type="dxa"/>
        </w:tcPr>
        <w:p w14:paraId="44FF68BB"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r w:rsidRPr="008F2C1C">
            <w:rPr>
              <w:rFonts w:ascii="Open Sans" w:hAnsi="Open Sans" w:cs="Open Sans"/>
              <w:color w:val="005695"/>
              <w:sz w:val="18"/>
              <w:szCs w:val="18"/>
            </w:rPr>
            <w:t>info@federalberghi.it</w:t>
          </w:r>
        </w:p>
      </w:tc>
      <w:tc>
        <w:tcPr>
          <w:tcW w:w="1752" w:type="dxa"/>
          <w:vMerge/>
        </w:tcPr>
        <w:p w14:paraId="1561B171" w14:textId="77777777" w:rsidR="00F347BE" w:rsidRDefault="00F347BE" w:rsidP="00F347BE">
          <w:pPr>
            <w:pStyle w:val="Pidipagina"/>
            <w:tabs>
              <w:tab w:val="clear" w:pos="4819"/>
              <w:tab w:val="clear" w:pos="9638"/>
              <w:tab w:val="left" w:pos="3200"/>
              <w:tab w:val="left" w:pos="4650"/>
            </w:tabs>
            <w:ind w:firstLine="0"/>
            <w:rPr>
              <w:rFonts w:ascii="Open Sans SemiBold" w:hAnsi="Open Sans SemiBold" w:cs="Open Sans SemiBold"/>
              <w:b/>
              <w:color w:val="005695"/>
              <w:sz w:val="18"/>
              <w:szCs w:val="18"/>
            </w:rPr>
          </w:pPr>
        </w:p>
      </w:tc>
    </w:tr>
  </w:tbl>
  <w:p w14:paraId="64827497" w14:textId="4B0CF98B" w:rsidR="0047576E" w:rsidRPr="0047576E" w:rsidRDefault="0047576E" w:rsidP="00F347BE">
    <w:pPr>
      <w:pStyle w:val="Pidipagina"/>
      <w:tabs>
        <w:tab w:val="clear" w:pos="4819"/>
        <w:tab w:val="clear" w:pos="9638"/>
        <w:tab w:val="left" w:pos="3200"/>
        <w:tab w:val="left" w:pos="4650"/>
      </w:tabs>
      <w:ind w:firstLine="0"/>
      <w:rPr>
        <w:rFonts w:ascii="Open Sans" w:hAnsi="Open Sans" w:cs="Open Sans"/>
        <w:color w:val="005695"/>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8DCA2" w14:textId="77777777" w:rsidR="000503BF" w:rsidRDefault="000503BF" w:rsidP="00771A7A">
      <w:r>
        <w:separator/>
      </w:r>
    </w:p>
  </w:footnote>
  <w:footnote w:type="continuationSeparator" w:id="0">
    <w:p w14:paraId="49DEC8B9" w14:textId="77777777" w:rsidR="000503BF" w:rsidRDefault="000503BF" w:rsidP="00771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E876D" w14:textId="77777777" w:rsidR="008A4002" w:rsidRDefault="008A400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BE156" w14:textId="7E812E86" w:rsidR="003A2854" w:rsidRPr="00AF7609" w:rsidRDefault="003A2854" w:rsidP="009F4E27">
    <w:pPr>
      <w:ind w:left="993" w:hanging="993"/>
      <w:jc w:val="right"/>
      <w:rPr>
        <w:rFonts w:cs="Arial"/>
        <w:szCs w:val="24"/>
      </w:rPr>
    </w:pPr>
    <w:r>
      <w:rPr>
        <w:rFonts w:cs="Arial"/>
        <w:noProof/>
        <w:szCs w:val="24"/>
      </w:rPr>
      <w:drawing>
        <wp:inline distT="0" distB="0" distL="0" distR="0" wp14:anchorId="6FDD2F65" wp14:editId="0D33278E">
          <wp:extent cx="515445" cy="558800"/>
          <wp:effectExtent l="0" t="0" r="5715" b="0"/>
          <wp:docPr id="5" name="Immagine 5" descr="Immagine che contiene simbolo, Elementi grafici, log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189161" name="Immagine 1" descr="Immagine che contiene simbolo, Elementi grafici, logo, Carattere&#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577629" cy="62621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1AC40" w14:textId="4FF82745" w:rsidR="003A2854" w:rsidRDefault="003A2854" w:rsidP="009214F6">
    <w:pPr>
      <w:pStyle w:val="Intestazione"/>
      <w:ind w:firstLine="0"/>
      <w:jc w:val="center"/>
      <w:rPr>
        <w:rFonts w:ascii="Arial" w:hAnsi="Arial" w:cs="Arial"/>
        <w:sz w:val="24"/>
        <w:szCs w:val="24"/>
      </w:rPr>
    </w:pPr>
    <w:r>
      <w:rPr>
        <w:rFonts w:ascii="Arial" w:hAnsi="Arial" w:cs="Arial"/>
        <w:noProof/>
        <w:sz w:val="24"/>
        <w:szCs w:val="24"/>
        <w:lang w:eastAsia="it-IT"/>
      </w:rPr>
      <w:drawing>
        <wp:inline distT="0" distB="0" distL="0" distR="0" wp14:anchorId="4287B0E1" wp14:editId="063E6E18">
          <wp:extent cx="1242807" cy="928800"/>
          <wp:effectExtent l="0" t="0" r="1905" b="0"/>
          <wp:docPr id="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861201" name="Immagine 690861201"/>
                  <pic:cNvPicPr/>
                </pic:nvPicPr>
                <pic:blipFill>
                  <a:blip r:embed="rId1">
                    <a:extLst>
                      <a:ext uri="{28A0092B-C50C-407E-A947-70E740481C1C}">
                        <a14:useLocalDpi xmlns:a14="http://schemas.microsoft.com/office/drawing/2010/main" val="0"/>
                      </a:ext>
                    </a:extLst>
                  </a:blip>
                  <a:stretch>
                    <a:fillRect/>
                  </a:stretch>
                </pic:blipFill>
                <pic:spPr>
                  <a:xfrm>
                    <a:off x="0" y="0"/>
                    <a:ext cx="1242807" cy="928800"/>
                  </a:xfrm>
                  <a:prstGeom prst="rect">
                    <a:avLst/>
                  </a:prstGeom>
                </pic:spPr>
              </pic:pic>
            </a:graphicData>
          </a:graphic>
        </wp:inline>
      </w:drawing>
    </w:r>
  </w:p>
  <w:p w14:paraId="6A4D0BC2" w14:textId="4123905B" w:rsidR="003A2854" w:rsidRDefault="003A2854" w:rsidP="00970CDB">
    <w:pPr>
      <w:pStyle w:val="Intestazione"/>
      <w:ind w:firstLine="0"/>
      <w:rPr>
        <w:rFonts w:ascii="Arial" w:hAnsi="Arial" w:cs="Arial"/>
        <w:sz w:val="24"/>
        <w:szCs w:val="24"/>
      </w:rPr>
    </w:pPr>
  </w:p>
  <w:p w14:paraId="439B7EB0" w14:textId="14203A8B" w:rsidR="003A2854" w:rsidRDefault="003A2854" w:rsidP="00970CDB">
    <w:pPr>
      <w:pStyle w:val="Intestazione"/>
      <w:ind w:firstLine="0"/>
      <w:rPr>
        <w:rFonts w:ascii="Arial" w:hAnsi="Arial" w:cs="Arial"/>
        <w:sz w:val="24"/>
        <w:szCs w:val="24"/>
      </w:rPr>
    </w:pPr>
  </w:p>
  <w:p w14:paraId="21950D2C" w14:textId="47E9076F" w:rsidR="000A496A" w:rsidRDefault="000A496A" w:rsidP="007E4159">
    <w:pPr>
      <w:pStyle w:val="Intestazione"/>
      <w:ind w:firstLine="0"/>
      <w:jc w:val="right"/>
      <w:rPr>
        <w:rFonts w:ascii="Arial" w:hAnsi="Arial" w:cs="Arial"/>
        <w:sz w:val="24"/>
        <w:szCs w:val="24"/>
      </w:rPr>
    </w:pPr>
    <w:r>
      <w:rPr>
        <w:rFonts w:ascii="Arial" w:hAnsi="Arial" w:cs="Arial"/>
        <w:sz w:val="24"/>
        <w:szCs w:val="24"/>
      </w:rPr>
      <w:t xml:space="preserve">Roma, </w:t>
    </w:r>
    <w:r w:rsidR="008A4002">
      <w:rPr>
        <w:rFonts w:ascii="Arial" w:hAnsi="Arial" w:cs="Arial"/>
        <w:sz w:val="24"/>
        <w:szCs w:val="24"/>
      </w:rPr>
      <w:t>8</w:t>
    </w:r>
    <w:r w:rsidR="007D4FB7">
      <w:rPr>
        <w:rFonts w:ascii="Arial" w:hAnsi="Arial" w:cs="Arial"/>
        <w:sz w:val="24"/>
        <w:szCs w:val="24"/>
      </w:rPr>
      <w:t xml:space="preserve"> maggio</w:t>
    </w:r>
    <w:r>
      <w:rPr>
        <w:rFonts w:ascii="Arial" w:hAnsi="Arial" w:cs="Arial"/>
        <w:sz w:val="24"/>
        <w:szCs w:val="24"/>
      </w:rPr>
      <w:t xml:space="preserve"> 2026</w:t>
    </w:r>
  </w:p>
  <w:p w14:paraId="6E2712EB" w14:textId="77777777" w:rsidR="000A496A" w:rsidRDefault="000A496A" w:rsidP="000A496A">
    <w:pPr>
      <w:pStyle w:val="Intestazione"/>
      <w:ind w:firstLine="0"/>
      <w:rPr>
        <w:rFonts w:ascii="Arial" w:hAnsi="Arial" w:cs="Arial"/>
        <w:sz w:val="24"/>
        <w:szCs w:val="24"/>
      </w:rPr>
    </w:pPr>
  </w:p>
  <w:p w14:paraId="6C0DBB94" w14:textId="76996DD0" w:rsidR="000A496A" w:rsidRDefault="000A496A" w:rsidP="00891988">
    <w:pPr>
      <w:pStyle w:val="Intestazione"/>
      <w:tabs>
        <w:tab w:val="left" w:pos="3990"/>
      </w:tabs>
      <w:ind w:right="-1" w:firstLine="0"/>
      <w:jc w:val="right"/>
      <w:rPr>
        <w:rFonts w:ascii="Arial" w:hAnsi="Arial" w:cs="Arial"/>
        <w:sz w:val="24"/>
        <w:szCs w:val="24"/>
      </w:rPr>
    </w:pPr>
    <w:r w:rsidRPr="00AF7609">
      <w:rPr>
        <w:rFonts w:ascii="Arial" w:hAnsi="Arial" w:cs="Arial"/>
        <w:sz w:val="24"/>
        <w:szCs w:val="24"/>
      </w:rPr>
      <w:t>Circ. n.</w:t>
    </w:r>
    <w:r>
      <w:rPr>
        <w:rFonts w:ascii="Arial" w:hAnsi="Arial" w:cs="Arial"/>
        <w:sz w:val="24"/>
        <w:szCs w:val="24"/>
      </w:rPr>
      <w:t xml:space="preserve"> </w:t>
    </w:r>
    <w:r w:rsidR="008A4002">
      <w:rPr>
        <w:rFonts w:ascii="Arial" w:hAnsi="Arial" w:cs="Arial"/>
        <w:sz w:val="24"/>
        <w:szCs w:val="24"/>
      </w:rPr>
      <w:t xml:space="preserve">126 </w:t>
    </w:r>
    <w:r>
      <w:rPr>
        <w:rFonts w:ascii="Arial" w:hAnsi="Arial" w:cs="Arial"/>
        <w:sz w:val="24"/>
        <w:szCs w:val="24"/>
      </w:rPr>
      <w:t>/ 2026</w:t>
    </w:r>
    <w:r>
      <w:rPr>
        <w:rFonts w:ascii="Arial" w:hAnsi="Arial" w:cs="Arial"/>
        <w:sz w:val="24"/>
        <w:szCs w:val="24"/>
      </w:rPr>
      <w:tab/>
    </w:r>
    <w:r>
      <w:rPr>
        <w:rFonts w:ascii="Arial" w:hAnsi="Arial" w:cs="Arial"/>
        <w:sz w:val="24"/>
        <w:szCs w:val="24"/>
      </w:rPr>
      <w:tab/>
    </w:r>
    <w:r>
      <w:rPr>
        <w:rFonts w:ascii="Arial" w:hAnsi="Arial" w:cs="Arial"/>
        <w:sz w:val="24"/>
        <w:szCs w:val="24"/>
      </w:rPr>
      <w:tab/>
    </w:r>
    <w:r w:rsidRPr="00AF7609">
      <w:rPr>
        <w:rFonts w:ascii="Arial" w:hAnsi="Arial" w:cs="Arial"/>
        <w:sz w:val="24"/>
        <w:szCs w:val="24"/>
      </w:rPr>
      <w:t>ALLE ASSOCIAZIONI ALBERGATORI</w:t>
    </w:r>
  </w:p>
  <w:p w14:paraId="65E2007E" w14:textId="700A630A" w:rsidR="000A496A" w:rsidRDefault="000A496A" w:rsidP="00891988">
    <w:pPr>
      <w:pStyle w:val="Intestazione"/>
      <w:ind w:right="-1" w:firstLine="0"/>
      <w:jc w:val="right"/>
      <w:rPr>
        <w:rFonts w:ascii="Arial" w:hAnsi="Arial" w:cs="Arial"/>
        <w:sz w:val="24"/>
        <w:szCs w:val="24"/>
      </w:rPr>
    </w:pPr>
    <w:r w:rsidRPr="00AF7609">
      <w:rPr>
        <w:rFonts w:ascii="Arial" w:hAnsi="Arial" w:cs="Arial"/>
        <w:sz w:val="24"/>
        <w:szCs w:val="24"/>
      </w:rPr>
      <w:t>Prot. n.</w:t>
    </w:r>
    <w:r>
      <w:rPr>
        <w:rFonts w:ascii="Arial" w:hAnsi="Arial" w:cs="Arial"/>
        <w:sz w:val="24"/>
        <w:szCs w:val="24"/>
      </w:rPr>
      <w:t xml:space="preserve"> </w:t>
    </w:r>
    <w:r w:rsidR="008A4002">
      <w:rPr>
        <w:rFonts w:ascii="Arial" w:hAnsi="Arial" w:cs="Arial"/>
        <w:sz w:val="24"/>
        <w:szCs w:val="24"/>
      </w:rPr>
      <w:t xml:space="preserve">163 </w:t>
    </w:r>
    <w:r>
      <w:rPr>
        <w:rFonts w:ascii="Arial" w:hAnsi="Arial" w:cs="Arial"/>
        <w:sz w:val="24"/>
        <w:szCs w:val="24"/>
      </w:rPr>
      <w:t xml:space="preserve">/ </w:t>
    </w:r>
    <w:r w:rsidR="007D4FB7">
      <w:rPr>
        <w:rFonts w:ascii="Arial" w:hAnsi="Arial" w:cs="Arial"/>
        <w:sz w:val="24"/>
        <w:szCs w:val="24"/>
      </w:rPr>
      <w:t>AS</w:t>
    </w:r>
    <w:r>
      <w:rPr>
        <w:rFonts w:ascii="Arial" w:hAnsi="Arial" w:cs="Arial"/>
        <w:sz w:val="24"/>
        <w:szCs w:val="24"/>
      </w:rPr>
      <w:tab/>
    </w:r>
    <w:r>
      <w:rPr>
        <w:rFonts w:ascii="Arial" w:hAnsi="Arial" w:cs="Arial"/>
        <w:sz w:val="24"/>
        <w:szCs w:val="24"/>
      </w:rPr>
      <w:tab/>
    </w:r>
    <w:r w:rsidRPr="00AF7609">
      <w:rPr>
        <w:rFonts w:ascii="Arial" w:hAnsi="Arial" w:cs="Arial"/>
        <w:sz w:val="24"/>
        <w:szCs w:val="24"/>
      </w:rPr>
      <w:t>ALLE UNIONI REGIONALI</w:t>
    </w:r>
  </w:p>
  <w:p w14:paraId="2A39D8FC" w14:textId="77777777" w:rsidR="000A496A" w:rsidRPr="00AF7609" w:rsidRDefault="000A496A" w:rsidP="00891988">
    <w:pPr>
      <w:pStyle w:val="Intestazione"/>
      <w:ind w:right="-1" w:firstLine="0"/>
      <w:jc w:val="right"/>
      <w:rPr>
        <w:rFonts w:ascii="Arial" w:hAnsi="Arial" w:cs="Arial"/>
        <w:sz w:val="24"/>
        <w:szCs w:val="24"/>
      </w:rPr>
    </w:pPr>
    <w:r>
      <w:rPr>
        <w:rFonts w:ascii="Arial" w:hAnsi="Arial" w:cs="Arial"/>
        <w:sz w:val="24"/>
        <w:szCs w:val="24"/>
      </w:rPr>
      <w:tab/>
    </w:r>
    <w:r>
      <w:rPr>
        <w:rFonts w:ascii="Arial" w:hAnsi="Arial" w:cs="Arial"/>
        <w:sz w:val="24"/>
        <w:szCs w:val="24"/>
      </w:rPr>
      <w:tab/>
      <w:t>AI SINDACATI NAZIONALI</w:t>
    </w:r>
  </w:p>
  <w:p w14:paraId="08461504" w14:textId="77777777" w:rsidR="000A496A" w:rsidRPr="00AF7609" w:rsidRDefault="000A496A" w:rsidP="00891988">
    <w:pPr>
      <w:pStyle w:val="Intestazione"/>
      <w:tabs>
        <w:tab w:val="center" w:pos="1701"/>
      </w:tabs>
      <w:ind w:right="-1"/>
      <w:jc w:val="right"/>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t>AL CONSIGLIO DIRETTIVO</w:t>
    </w:r>
  </w:p>
  <w:p w14:paraId="03A0E94A" w14:textId="77777777" w:rsidR="000A496A" w:rsidRPr="00AF7609" w:rsidRDefault="000A496A" w:rsidP="00891988">
    <w:pPr>
      <w:pStyle w:val="Intestazione"/>
      <w:tabs>
        <w:tab w:val="center" w:pos="1701"/>
      </w:tabs>
      <w:ind w:right="-1"/>
      <w:jc w:val="right"/>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r>
    <w:r>
      <w:rPr>
        <w:rFonts w:ascii="Arial" w:hAnsi="Arial" w:cs="Arial"/>
        <w:sz w:val="24"/>
        <w:szCs w:val="24"/>
      </w:rPr>
      <w:t>AI CONSIGLIERI ONORARI</w:t>
    </w:r>
  </w:p>
  <w:p w14:paraId="4F225D26" w14:textId="77777777" w:rsidR="000A496A" w:rsidRDefault="000A496A" w:rsidP="00891988">
    <w:pPr>
      <w:pStyle w:val="Intestazione"/>
      <w:tabs>
        <w:tab w:val="center" w:pos="1701"/>
      </w:tabs>
      <w:ind w:right="-1"/>
      <w:jc w:val="righ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AI </w:t>
    </w:r>
    <w:r w:rsidRPr="00AF7609">
      <w:rPr>
        <w:rFonts w:ascii="Arial" w:hAnsi="Arial" w:cs="Arial"/>
        <w:sz w:val="24"/>
        <w:szCs w:val="24"/>
      </w:rPr>
      <w:t>REVISORI DEI CONTI</w:t>
    </w:r>
  </w:p>
  <w:p w14:paraId="745C6D84" w14:textId="77777777" w:rsidR="000A496A" w:rsidRDefault="000A496A" w:rsidP="00891988">
    <w:pPr>
      <w:pStyle w:val="Intestazione"/>
      <w:tabs>
        <w:tab w:val="center" w:pos="1701"/>
      </w:tabs>
      <w:ind w:right="-1"/>
      <w:jc w:val="right"/>
      <w:rPr>
        <w:rFonts w:ascii="Arial" w:hAnsi="Arial" w:cs="Arial"/>
        <w:sz w:val="24"/>
        <w:szCs w:val="24"/>
      </w:rPr>
    </w:pPr>
    <w:r>
      <w:rPr>
        <w:rFonts w:ascii="Arial" w:hAnsi="Arial" w:cs="Arial"/>
        <w:sz w:val="24"/>
        <w:szCs w:val="24"/>
      </w:rPr>
      <w:tab/>
      <w:t>AI PROBIVIRI</w:t>
    </w:r>
  </w:p>
  <w:p w14:paraId="08E4FDBB" w14:textId="62CDC424" w:rsidR="003A2854" w:rsidRDefault="000A496A" w:rsidP="000A496A">
    <w:pPr>
      <w:pStyle w:val="Intestazione"/>
      <w:ind w:firstLine="0"/>
      <w:rPr>
        <w:rFonts w:ascii="Arial" w:hAnsi="Arial" w:cs="Arial"/>
        <w:sz w:val="24"/>
        <w:szCs w:val="24"/>
      </w:rPr>
    </w:pPr>
    <w:r w:rsidRPr="00AF7609">
      <w:rPr>
        <w:rFonts w:ascii="Arial" w:hAnsi="Arial" w:cs="Arial"/>
        <w:sz w:val="24"/>
        <w:szCs w:val="24"/>
      </w:rPr>
      <w:tab/>
    </w:r>
    <w:r w:rsidR="00061174">
      <w:rPr>
        <w:rFonts w:ascii="Arial" w:hAnsi="Arial" w:cs="Arial"/>
        <w:sz w:val="24"/>
        <w:szCs w:val="24"/>
      </w:rPr>
      <w:tab/>
    </w:r>
    <w:r w:rsidRPr="00AF7609">
      <w:rPr>
        <w:rFonts w:ascii="Arial" w:hAnsi="Arial" w:cs="Arial"/>
        <w:sz w:val="24"/>
        <w:szCs w:val="24"/>
      </w:rPr>
      <w:t>_____________________________</w:t>
    </w:r>
  </w:p>
  <w:p w14:paraId="643B1A02" w14:textId="77777777" w:rsidR="00891988" w:rsidRPr="0002322E" w:rsidRDefault="00891988" w:rsidP="000A496A">
    <w:pPr>
      <w:pStyle w:val="Intestazione"/>
      <w:ind w:firstLine="0"/>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E03267"/>
    <w:multiLevelType w:val="hybridMultilevel"/>
    <w:tmpl w:val="CE10CBC0"/>
    <w:lvl w:ilvl="0" w:tplc="3D346932">
      <w:start w:val="1"/>
      <w:numFmt w:val="bullet"/>
      <w:lvlText w:val="-"/>
      <w:lvlJc w:val="left"/>
      <w:pPr>
        <w:ind w:left="720" w:hanging="360"/>
      </w:pPr>
      <w:rPr>
        <w:rFonts w:ascii="Arial"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B3746AD"/>
    <w:multiLevelType w:val="hybridMultilevel"/>
    <w:tmpl w:val="36805E72"/>
    <w:lvl w:ilvl="0" w:tplc="3D346932">
      <w:start w:val="1"/>
      <w:numFmt w:val="bullet"/>
      <w:lvlText w:val="-"/>
      <w:lvlJc w:val="left"/>
      <w:pPr>
        <w:ind w:left="1068" w:hanging="360"/>
      </w:pPr>
      <w:rPr>
        <w:rFonts w:ascii="Arial" w:hAnsi="Aria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16cid:durableId="1815560128">
    <w:abstractNumId w:val="1"/>
  </w:num>
  <w:num w:numId="2" w16cid:durableId="1200976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it-IT" w:vendorID="64" w:dllVersion="0" w:nlCheck="1" w:checkStyle="0"/>
  <w:activeWritingStyle w:appName="MSWord" w:lang="it-IT" w:vendorID="64" w:dllVersion="4096" w:nlCheck="1" w:checkStyle="0"/>
  <w:defaultTabStop w:val="851"/>
  <w:hyphenationZone w:val="283"/>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B9E"/>
    <w:rsid w:val="00013294"/>
    <w:rsid w:val="0002322E"/>
    <w:rsid w:val="0002637B"/>
    <w:rsid w:val="00041187"/>
    <w:rsid w:val="000471AD"/>
    <w:rsid w:val="000503BF"/>
    <w:rsid w:val="00061174"/>
    <w:rsid w:val="00062126"/>
    <w:rsid w:val="00065D69"/>
    <w:rsid w:val="00067F31"/>
    <w:rsid w:val="0007302A"/>
    <w:rsid w:val="000A496A"/>
    <w:rsid w:val="000B5032"/>
    <w:rsid w:val="000B6DAF"/>
    <w:rsid w:val="000C034D"/>
    <w:rsid w:val="000E3C28"/>
    <w:rsid w:val="000E3F21"/>
    <w:rsid w:val="000F1F74"/>
    <w:rsid w:val="000F353E"/>
    <w:rsid w:val="00112503"/>
    <w:rsid w:val="00115AAB"/>
    <w:rsid w:val="00133836"/>
    <w:rsid w:val="0013403F"/>
    <w:rsid w:val="0013513A"/>
    <w:rsid w:val="00142A8B"/>
    <w:rsid w:val="0014341E"/>
    <w:rsid w:val="00154022"/>
    <w:rsid w:val="00157974"/>
    <w:rsid w:val="00167E67"/>
    <w:rsid w:val="00176FE5"/>
    <w:rsid w:val="001771EA"/>
    <w:rsid w:val="0018098C"/>
    <w:rsid w:val="00180E0F"/>
    <w:rsid w:val="0018757F"/>
    <w:rsid w:val="00191884"/>
    <w:rsid w:val="001A54B6"/>
    <w:rsid w:val="001B4CFF"/>
    <w:rsid w:val="001B75AE"/>
    <w:rsid w:val="001D5DF2"/>
    <w:rsid w:val="001F1583"/>
    <w:rsid w:val="001F3AC4"/>
    <w:rsid w:val="00212968"/>
    <w:rsid w:val="002129AB"/>
    <w:rsid w:val="00213175"/>
    <w:rsid w:val="00214C04"/>
    <w:rsid w:val="002230A1"/>
    <w:rsid w:val="002368DC"/>
    <w:rsid w:val="00252E9C"/>
    <w:rsid w:val="00260B76"/>
    <w:rsid w:val="00283CEB"/>
    <w:rsid w:val="002921CE"/>
    <w:rsid w:val="002A63E6"/>
    <w:rsid w:val="002B2D92"/>
    <w:rsid w:val="002B4A47"/>
    <w:rsid w:val="002E304A"/>
    <w:rsid w:val="002E3F91"/>
    <w:rsid w:val="002F5058"/>
    <w:rsid w:val="002F57C3"/>
    <w:rsid w:val="00303C3C"/>
    <w:rsid w:val="00305C40"/>
    <w:rsid w:val="00306F06"/>
    <w:rsid w:val="00326BAF"/>
    <w:rsid w:val="00334D71"/>
    <w:rsid w:val="003419BD"/>
    <w:rsid w:val="0034708B"/>
    <w:rsid w:val="003626E9"/>
    <w:rsid w:val="003667EC"/>
    <w:rsid w:val="00376AC6"/>
    <w:rsid w:val="00376F1E"/>
    <w:rsid w:val="00390876"/>
    <w:rsid w:val="00391C5F"/>
    <w:rsid w:val="00395545"/>
    <w:rsid w:val="003A2854"/>
    <w:rsid w:val="003A4BCE"/>
    <w:rsid w:val="003B4AD3"/>
    <w:rsid w:val="003B6831"/>
    <w:rsid w:val="003C274B"/>
    <w:rsid w:val="003C7BF9"/>
    <w:rsid w:val="003E30D2"/>
    <w:rsid w:val="003E69A7"/>
    <w:rsid w:val="003F4D9B"/>
    <w:rsid w:val="003F5515"/>
    <w:rsid w:val="00404ECB"/>
    <w:rsid w:val="00426F94"/>
    <w:rsid w:val="00441824"/>
    <w:rsid w:val="00454EE8"/>
    <w:rsid w:val="0047576E"/>
    <w:rsid w:val="00477838"/>
    <w:rsid w:val="00477863"/>
    <w:rsid w:val="004A70D5"/>
    <w:rsid w:val="004B0DE9"/>
    <w:rsid w:val="004B502E"/>
    <w:rsid w:val="004C13A6"/>
    <w:rsid w:val="004E3B51"/>
    <w:rsid w:val="004E44C2"/>
    <w:rsid w:val="00525789"/>
    <w:rsid w:val="0052743D"/>
    <w:rsid w:val="00533104"/>
    <w:rsid w:val="00547F55"/>
    <w:rsid w:val="005530C1"/>
    <w:rsid w:val="00553D65"/>
    <w:rsid w:val="00571899"/>
    <w:rsid w:val="005927B2"/>
    <w:rsid w:val="005B0BBD"/>
    <w:rsid w:val="005B1591"/>
    <w:rsid w:val="005B1A98"/>
    <w:rsid w:val="005F1228"/>
    <w:rsid w:val="00612779"/>
    <w:rsid w:val="00616B9E"/>
    <w:rsid w:val="00633D39"/>
    <w:rsid w:val="00637410"/>
    <w:rsid w:val="006440D3"/>
    <w:rsid w:val="00646174"/>
    <w:rsid w:val="00666DA1"/>
    <w:rsid w:val="00666FB4"/>
    <w:rsid w:val="00667539"/>
    <w:rsid w:val="00671B98"/>
    <w:rsid w:val="00682CD5"/>
    <w:rsid w:val="00692B97"/>
    <w:rsid w:val="006A5F42"/>
    <w:rsid w:val="006A6082"/>
    <w:rsid w:val="006C633F"/>
    <w:rsid w:val="006C71FC"/>
    <w:rsid w:val="006E5B85"/>
    <w:rsid w:val="006E717E"/>
    <w:rsid w:val="006E78E4"/>
    <w:rsid w:val="007067C5"/>
    <w:rsid w:val="00714E6F"/>
    <w:rsid w:val="00715ADC"/>
    <w:rsid w:val="00725D99"/>
    <w:rsid w:val="00730CA7"/>
    <w:rsid w:val="0075280B"/>
    <w:rsid w:val="00756AE3"/>
    <w:rsid w:val="0076737F"/>
    <w:rsid w:val="00771A7A"/>
    <w:rsid w:val="00776C5D"/>
    <w:rsid w:val="007867CF"/>
    <w:rsid w:val="0079026C"/>
    <w:rsid w:val="00797833"/>
    <w:rsid w:val="007A649E"/>
    <w:rsid w:val="007C298D"/>
    <w:rsid w:val="007C7EEE"/>
    <w:rsid w:val="007D010D"/>
    <w:rsid w:val="007D4FB7"/>
    <w:rsid w:val="007E32CC"/>
    <w:rsid w:val="007E4159"/>
    <w:rsid w:val="007E6627"/>
    <w:rsid w:val="007F538E"/>
    <w:rsid w:val="00802F34"/>
    <w:rsid w:val="008058A4"/>
    <w:rsid w:val="00861AA0"/>
    <w:rsid w:val="0087471F"/>
    <w:rsid w:val="00891988"/>
    <w:rsid w:val="008A4002"/>
    <w:rsid w:val="008A54F1"/>
    <w:rsid w:val="008B0A23"/>
    <w:rsid w:val="008B4643"/>
    <w:rsid w:val="008C0AD3"/>
    <w:rsid w:val="008C6C30"/>
    <w:rsid w:val="008D1135"/>
    <w:rsid w:val="008E6FDD"/>
    <w:rsid w:val="008F1B9C"/>
    <w:rsid w:val="008F2C1C"/>
    <w:rsid w:val="008F2D0B"/>
    <w:rsid w:val="008F3828"/>
    <w:rsid w:val="008F534A"/>
    <w:rsid w:val="00915F20"/>
    <w:rsid w:val="009214F6"/>
    <w:rsid w:val="009324C5"/>
    <w:rsid w:val="0094745C"/>
    <w:rsid w:val="00960E5E"/>
    <w:rsid w:val="00970CDB"/>
    <w:rsid w:val="009713AD"/>
    <w:rsid w:val="0097402D"/>
    <w:rsid w:val="0097506C"/>
    <w:rsid w:val="00994B69"/>
    <w:rsid w:val="009B0A77"/>
    <w:rsid w:val="009B3D9B"/>
    <w:rsid w:val="009D31AF"/>
    <w:rsid w:val="009D4F8D"/>
    <w:rsid w:val="009E0F29"/>
    <w:rsid w:val="009E1EB8"/>
    <w:rsid w:val="009E3CF4"/>
    <w:rsid w:val="009F3D33"/>
    <w:rsid w:val="009F4E27"/>
    <w:rsid w:val="009F7BA6"/>
    <w:rsid w:val="00A07138"/>
    <w:rsid w:val="00A073F1"/>
    <w:rsid w:val="00A111D9"/>
    <w:rsid w:val="00A15777"/>
    <w:rsid w:val="00A4544B"/>
    <w:rsid w:val="00A627E7"/>
    <w:rsid w:val="00A8143E"/>
    <w:rsid w:val="00A86225"/>
    <w:rsid w:val="00A915CB"/>
    <w:rsid w:val="00AA2711"/>
    <w:rsid w:val="00AA3B5B"/>
    <w:rsid w:val="00AB1C9A"/>
    <w:rsid w:val="00AB515F"/>
    <w:rsid w:val="00AB790C"/>
    <w:rsid w:val="00AB79AA"/>
    <w:rsid w:val="00AD1100"/>
    <w:rsid w:val="00AD53C5"/>
    <w:rsid w:val="00AF387B"/>
    <w:rsid w:val="00AF7609"/>
    <w:rsid w:val="00B01EAC"/>
    <w:rsid w:val="00B144BE"/>
    <w:rsid w:val="00B161E1"/>
    <w:rsid w:val="00B166C1"/>
    <w:rsid w:val="00B212BB"/>
    <w:rsid w:val="00B26EE0"/>
    <w:rsid w:val="00B314F8"/>
    <w:rsid w:val="00B47BF0"/>
    <w:rsid w:val="00B878C2"/>
    <w:rsid w:val="00B96D60"/>
    <w:rsid w:val="00B970F2"/>
    <w:rsid w:val="00BA5460"/>
    <w:rsid w:val="00BB7A40"/>
    <w:rsid w:val="00BC2D3D"/>
    <w:rsid w:val="00BD6247"/>
    <w:rsid w:val="00C04EEA"/>
    <w:rsid w:val="00C058E8"/>
    <w:rsid w:val="00C05DC9"/>
    <w:rsid w:val="00C0766A"/>
    <w:rsid w:val="00C11359"/>
    <w:rsid w:val="00C16B26"/>
    <w:rsid w:val="00C25E98"/>
    <w:rsid w:val="00C42093"/>
    <w:rsid w:val="00C45D9F"/>
    <w:rsid w:val="00C52F6C"/>
    <w:rsid w:val="00C62236"/>
    <w:rsid w:val="00C91262"/>
    <w:rsid w:val="00C9220A"/>
    <w:rsid w:val="00C94442"/>
    <w:rsid w:val="00CA511B"/>
    <w:rsid w:val="00CC2BAC"/>
    <w:rsid w:val="00CD124A"/>
    <w:rsid w:val="00CD4E9C"/>
    <w:rsid w:val="00CD6615"/>
    <w:rsid w:val="00CD6AA2"/>
    <w:rsid w:val="00CE2691"/>
    <w:rsid w:val="00CE5FF0"/>
    <w:rsid w:val="00CF6B40"/>
    <w:rsid w:val="00D00485"/>
    <w:rsid w:val="00D0512E"/>
    <w:rsid w:val="00D05C53"/>
    <w:rsid w:val="00D07A5A"/>
    <w:rsid w:val="00D17BE7"/>
    <w:rsid w:val="00D31694"/>
    <w:rsid w:val="00D31A67"/>
    <w:rsid w:val="00D32AF4"/>
    <w:rsid w:val="00D409E4"/>
    <w:rsid w:val="00D6478F"/>
    <w:rsid w:val="00D70A21"/>
    <w:rsid w:val="00D765AD"/>
    <w:rsid w:val="00D8298F"/>
    <w:rsid w:val="00D95146"/>
    <w:rsid w:val="00DA7C64"/>
    <w:rsid w:val="00DB598C"/>
    <w:rsid w:val="00DC505D"/>
    <w:rsid w:val="00DC772B"/>
    <w:rsid w:val="00DD04E4"/>
    <w:rsid w:val="00DE1D4F"/>
    <w:rsid w:val="00DF010F"/>
    <w:rsid w:val="00DF41DC"/>
    <w:rsid w:val="00E074BC"/>
    <w:rsid w:val="00E12D43"/>
    <w:rsid w:val="00E2585A"/>
    <w:rsid w:val="00E3056A"/>
    <w:rsid w:val="00E34F1A"/>
    <w:rsid w:val="00E35E98"/>
    <w:rsid w:val="00E42E95"/>
    <w:rsid w:val="00E57748"/>
    <w:rsid w:val="00E57B26"/>
    <w:rsid w:val="00E65A6D"/>
    <w:rsid w:val="00E77A31"/>
    <w:rsid w:val="00E95125"/>
    <w:rsid w:val="00E9548B"/>
    <w:rsid w:val="00E96DA2"/>
    <w:rsid w:val="00EA5C06"/>
    <w:rsid w:val="00EA7C25"/>
    <w:rsid w:val="00EC263E"/>
    <w:rsid w:val="00ED0757"/>
    <w:rsid w:val="00ED2FA7"/>
    <w:rsid w:val="00ED3382"/>
    <w:rsid w:val="00ED49C7"/>
    <w:rsid w:val="00F033F9"/>
    <w:rsid w:val="00F10346"/>
    <w:rsid w:val="00F347BE"/>
    <w:rsid w:val="00F3700A"/>
    <w:rsid w:val="00F710F3"/>
    <w:rsid w:val="00F7181B"/>
    <w:rsid w:val="00F71DCB"/>
    <w:rsid w:val="00F91060"/>
    <w:rsid w:val="00F97482"/>
    <w:rsid w:val="00FA0B5B"/>
    <w:rsid w:val="00FB33DC"/>
    <w:rsid w:val="00FB6AFE"/>
    <w:rsid w:val="00FD1713"/>
    <w:rsid w:val="00FD1854"/>
    <w:rsid w:val="00FE3AAF"/>
    <w:rsid w:val="00FE68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742B6"/>
  <w15:docId w15:val="{70623E4C-3390-41E9-A02A-FDBF11593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70CDB"/>
    <w:pPr>
      <w:spacing w:after="0" w:line="240" w:lineRule="auto"/>
      <w:ind w:firstLine="1021"/>
      <w:jc w:val="both"/>
    </w:pPr>
    <w:rPr>
      <w:rFonts w:ascii="Arial" w:eastAsia="Times New Roman" w:hAnsi="Arial" w:cs="Times New Roman"/>
      <w:sz w:val="24"/>
      <w:szCs w:val="20"/>
      <w:lang w:eastAsia="it-IT"/>
    </w:rPr>
  </w:style>
  <w:style w:type="paragraph" w:styleId="Titolo1">
    <w:name w:val="heading 1"/>
    <w:basedOn w:val="Normale"/>
    <w:next w:val="Normale"/>
    <w:link w:val="Titolo1Carattere"/>
    <w:uiPriority w:val="9"/>
    <w:qFormat/>
    <w:rsid w:val="007D4FB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semiHidden/>
    <w:unhideWhenUsed/>
    <w:qFormat/>
    <w:rsid w:val="001B75A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71A7A"/>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771A7A"/>
  </w:style>
  <w:style w:type="paragraph" w:styleId="Pidipagina">
    <w:name w:val="footer"/>
    <w:basedOn w:val="Normale"/>
    <w:link w:val="PidipaginaCarattere"/>
    <w:uiPriority w:val="99"/>
    <w:unhideWhenUsed/>
    <w:rsid w:val="00771A7A"/>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771A7A"/>
  </w:style>
  <w:style w:type="character" w:styleId="Collegamentoipertestuale">
    <w:name w:val="Hyperlink"/>
    <w:basedOn w:val="Carpredefinitoparagrafo"/>
    <w:uiPriority w:val="99"/>
    <w:unhideWhenUsed/>
    <w:rsid w:val="00970CDB"/>
    <w:rPr>
      <w:color w:val="0563C1" w:themeColor="hyperlink"/>
      <w:u w:val="single"/>
    </w:rPr>
  </w:style>
  <w:style w:type="paragraph" w:styleId="Testofumetto">
    <w:name w:val="Balloon Text"/>
    <w:basedOn w:val="Normale"/>
    <w:link w:val="TestofumettoCarattere"/>
    <w:uiPriority w:val="99"/>
    <w:semiHidden/>
    <w:unhideWhenUsed/>
    <w:rsid w:val="000F1F7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F1F74"/>
    <w:rPr>
      <w:rFonts w:ascii="Segoe UI" w:eastAsia="Times New Roman" w:hAnsi="Segoe UI" w:cs="Segoe UI"/>
      <w:sz w:val="18"/>
      <w:szCs w:val="18"/>
      <w:lang w:eastAsia="it-IT"/>
    </w:rPr>
  </w:style>
  <w:style w:type="character" w:customStyle="1" w:styleId="Menzionenonrisolta1">
    <w:name w:val="Menzione non risolta1"/>
    <w:basedOn w:val="Carpredefinitoparagrafo"/>
    <w:uiPriority w:val="99"/>
    <w:semiHidden/>
    <w:unhideWhenUsed/>
    <w:rsid w:val="008F534A"/>
    <w:rPr>
      <w:color w:val="605E5C"/>
      <w:shd w:val="clear" w:color="auto" w:fill="E1DFDD"/>
    </w:rPr>
  </w:style>
  <w:style w:type="character" w:styleId="Collegamentovisitato">
    <w:name w:val="FollowedHyperlink"/>
    <w:basedOn w:val="Carpredefinitoparagrafo"/>
    <w:uiPriority w:val="99"/>
    <w:semiHidden/>
    <w:unhideWhenUsed/>
    <w:rsid w:val="00671B98"/>
    <w:rPr>
      <w:color w:val="954F72" w:themeColor="followedHyperlink"/>
      <w:u w:val="single"/>
    </w:rPr>
  </w:style>
  <w:style w:type="paragraph" w:styleId="Paragrafoelenco">
    <w:name w:val="List Paragraph"/>
    <w:basedOn w:val="Normale"/>
    <w:uiPriority w:val="34"/>
    <w:qFormat/>
    <w:rsid w:val="00A915CB"/>
    <w:pPr>
      <w:ind w:left="720"/>
      <w:contextualSpacing/>
    </w:pPr>
  </w:style>
  <w:style w:type="character" w:customStyle="1" w:styleId="Titolo2Carattere">
    <w:name w:val="Titolo 2 Carattere"/>
    <w:basedOn w:val="Carpredefinitoparagrafo"/>
    <w:link w:val="Titolo2"/>
    <w:uiPriority w:val="9"/>
    <w:semiHidden/>
    <w:rsid w:val="001B75AE"/>
    <w:rPr>
      <w:rFonts w:asciiTheme="majorHAnsi" w:eastAsiaTheme="majorEastAsia" w:hAnsiTheme="majorHAnsi" w:cstheme="majorBidi"/>
      <w:color w:val="2E74B5" w:themeColor="accent1" w:themeShade="BF"/>
      <w:sz w:val="26"/>
      <w:szCs w:val="26"/>
      <w:lang w:eastAsia="it-IT"/>
    </w:rPr>
  </w:style>
  <w:style w:type="table" w:styleId="Grigliatabella">
    <w:name w:val="Table Grid"/>
    <w:basedOn w:val="Tabellanormale"/>
    <w:uiPriority w:val="39"/>
    <w:rsid w:val="00F347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7D4FB7"/>
    <w:rPr>
      <w:rFonts w:asciiTheme="majorHAnsi" w:eastAsiaTheme="majorEastAsia" w:hAnsiTheme="majorHAnsi" w:cstheme="majorBidi"/>
      <w:color w:val="2E74B5" w:themeColor="accent1" w:themeShade="BF"/>
      <w:sz w:val="32"/>
      <w:szCs w:val="3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B9C1C9B42315A743854A916ED404DEC6" ma:contentTypeVersion="60" ma:contentTypeDescription="Creare un nuovo documento." ma:contentTypeScope="" ma:versionID="8891668cbabadeb3d3c1458b052e9b31">
  <xsd:schema xmlns:xsd="http://www.w3.org/2001/XMLSchema" xmlns:xs="http://www.w3.org/2001/XMLSchema" xmlns:p="http://schemas.microsoft.com/office/2006/metadata/properties" xmlns:ns2="e00d372c-24fe-4ce0-803c-b6187f4ec46c" xmlns:ns3="dd2003e8-ee4e-4182-9e66-4c90256c9f25" xmlns:ns4="2d2ac0f6-f1ba-42ac-bc6d-2dec6b81bd22" xmlns:ns5="http://schemas.microsoft.com/sharepoint/v4" xmlns:ns6="3f01b547-e4e8-474c-b1a6-851fe388f69e" xmlns:ns7="3c5d6bd3-7c05-4de2-9a3a-2df53d797d57" xmlns:ns8="$ListId:Circ;" targetNamespace="http://schemas.microsoft.com/office/2006/metadata/properties" ma:root="true" ma:fieldsID="2dd839ae635543634d9a75f2022f3dae" ns2:_="" ns3:_="" ns4:_="" ns5:_="" ns6:_="" ns7:_="" ns8:_="">
    <xsd:import namespace="e00d372c-24fe-4ce0-803c-b6187f4ec46c"/>
    <xsd:import namespace="dd2003e8-ee4e-4182-9e66-4c90256c9f25"/>
    <xsd:import namespace="2d2ac0f6-f1ba-42ac-bc6d-2dec6b81bd22"/>
    <xsd:import namespace="http://schemas.microsoft.com/sharepoint/v4"/>
    <xsd:import namespace="3f01b547-e4e8-474c-b1a6-851fe388f69e"/>
    <xsd:import namespace="3c5d6bd3-7c05-4de2-9a3a-2df53d797d57"/>
    <xsd:import namespace="$ListId:Circ;"/>
    <xsd:element name="properties">
      <xsd:complexType>
        <xsd:sequence>
          <xsd:element name="documentManagement">
            <xsd:complexType>
              <xsd:all>
                <xsd:element ref="ns2:Tipo_x0020_File" minOccurs="0"/>
                <xsd:element ref="ns3:_dlc_DocId" minOccurs="0"/>
                <xsd:element ref="ns3:_dlc_DocIdUrl" minOccurs="0"/>
                <xsd:element ref="ns3:_dlc_DocIdPersistId" minOccurs="0"/>
                <xsd:element ref="ns4:Descrizione_x0020_breve" minOccurs="0"/>
                <xsd:element ref="ns4:Descrizione_x0020_estesa" minOccurs="0"/>
                <xsd:element ref="ns5:IconOverlay" minOccurs="0"/>
                <xsd:element ref="ns3:TaxCatchAll" minOccurs="0"/>
                <xsd:element ref="ns3:TaxCatchAllLabel" minOccurs="0"/>
                <xsd:element ref="ns6:Resp_x0020_Approvazione" minOccurs="0"/>
                <xsd:element ref="ns6:Data_x0020_Approvazione" minOccurs="0"/>
                <xsd:element ref="ns6:Numero" minOccurs="0"/>
                <xsd:element ref="ns6:Esito_x0020_Approvazione_x0020_Resp" minOccurs="0"/>
                <xsd:element ref="ns6:Note_x0020_Responsabile" minOccurs="0"/>
                <xsd:element ref="ns4:Oggetto" minOccurs="0"/>
                <xsd:element ref="ns4:Data_x0020_Approvazione_x0020_Direzione" minOccurs="0"/>
                <xsd:element ref="ns4:Approvatore_x0020_II_x0020_livello" minOccurs="0"/>
                <xsd:element ref="ns7:Esito_x0020_Approvazione_x0020_Direzione" minOccurs="0"/>
                <xsd:element ref="ns7:Richiedente_x0020_App_x0020_Resp" minOccurs="0"/>
                <xsd:element ref="ns7:Note_x0020_Approvazione_x0020_Direzione" minOccurs="0"/>
                <xsd:element ref="ns8:Num_x0020_Protocollo" minOccurs="0"/>
                <xsd:element ref="ns8:Anteprima_x0020_News" minOccurs="0"/>
                <xsd:element ref="ns2:Responsabile_x0020_Reparto" minOccurs="0"/>
                <xsd:element ref="ns2:Pagina" minOccurs="0"/>
                <xsd:element ref="ns8:Pubblicato" minOccurs="0"/>
                <xsd:element ref="ns2:Approv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0d372c-24fe-4ce0-803c-b6187f4ec46c" elementFormDefault="qualified">
    <xsd:import namespace="http://schemas.microsoft.com/office/2006/documentManagement/types"/>
    <xsd:import namespace="http://schemas.microsoft.com/office/infopath/2007/PartnerControls"/>
    <xsd:element name="Tipo_x0020_File" ma:index="2" nillable="true" ma:displayName="Tipo File" ma:default="Allegato" ma:format="Dropdown" ma:internalName="Tipo_x0020_File">
      <xsd:simpleType>
        <xsd:restriction base="dms:Choice">
          <xsd:enumeration value="Documento"/>
          <xsd:enumeration value="Allegato"/>
        </xsd:restriction>
      </xsd:simpleType>
    </xsd:element>
    <xsd:element name="Responsabile_x0020_Reparto" ma:index="32" nillable="true" ma:displayName="Responsabile Reparto" ma:hidden="true" ma:list="UserInfo" ma:SharePointGroup="0" ma:internalName="Responsabile_x0020_Reparto"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agina" ma:index="33" nillable="true" ma:displayName="Pagina" ma:hidden="true" ma:internalName="Pagina" ma:readOnly="false">
      <xsd:simpleType>
        <xsd:restriction base="dms:Text">
          <xsd:maxLength value="255"/>
        </xsd:restriction>
      </xsd:simpleType>
    </xsd:element>
    <xsd:element name="Approvata" ma:index="35" nillable="true" ma:displayName="Approvata" ma:default="0" ma:internalName="Approvata">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2003e8-ee4e-4182-9e66-4c90256c9f25" elementFormDefault="qualified">
    <xsd:import namespace="http://schemas.microsoft.com/office/2006/documentManagement/types"/>
    <xsd:import namespace="http://schemas.microsoft.com/office/infopath/2007/PartnerControls"/>
    <xsd:element name="_dlc_DocId" ma:index="7" nillable="true" ma:displayName="Valore ID documento" ma:description="Valore dell'ID documento assegnato all'elemento." ma:internalName="_dlc_DocId" ma:readOnly="true">
      <xsd:simpleType>
        <xsd:restriction base="dms:Text"/>
      </xsd:simpleType>
    </xsd:element>
    <xsd:element name="_dlc_DocIdUrl" ma:index="8"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 nillable="true" ma:displayName="Salva ID in modo permanente" ma:description="Mantenere ID all'aggiunta." ma:hidden="true" ma:internalName="_dlc_DocIdPersistId" ma:readOnly="true">
      <xsd:simpleType>
        <xsd:restriction base="dms:Boolean"/>
      </xsd:simpleType>
    </xsd:element>
    <xsd:element name="TaxCatchAll" ma:index="14" nillable="true" ma:displayName="Colonna per tutti i valori di tassonomia" ma:hidden="true" ma:list="{70f68d7f-1625-4f2d-a060-310654ca9bca}" ma:internalName="TaxCatchAll" ma:showField="CatchAllData" ma:web="dd2003e8-ee4e-4182-9e66-4c90256c9f25">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Colonna per tutti i valori di tassonomia1" ma:hidden="true" ma:list="{70f68d7f-1625-4f2d-a060-310654ca9bca}" ma:internalName="TaxCatchAllLabel" ma:readOnly="true" ma:showField="CatchAllDataLabel" ma:web="dd2003e8-ee4e-4182-9e66-4c90256c9f2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d2ac0f6-f1ba-42ac-bc6d-2dec6b81bd22" elementFormDefault="qualified">
    <xsd:import namespace="http://schemas.microsoft.com/office/2006/documentManagement/types"/>
    <xsd:import namespace="http://schemas.microsoft.com/office/infopath/2007/PartnerControls"/>
    <xsd:element name="Descrizione_x0020_breve" ma:index="10" nillable="true" ma:displayName="Titolo_new" ma:description="Questo sarà il titolo visibile sul sito web." ma:hidden="true" ma:internalName="Descrizione_x0020_breve" ma:readOnly="false">
      <xsd:simpleType>
        <xsd:restriction base="dms:Text">
          <xsd:maxLength value="255"/>
        </xsd:restriction>
      </xsd:simpleType>
    </xsd:element>
    <xsd:element name="Descrizione_x0020_estesa" ma:index="11" nillable="true" ma:displayName="Testo" ma:description="Questa sarà la descrizione della news visibile sul sito web." ma:hidden="true" ma:internalName="Descrizione_x0020_estesa" ma:readOnly="false">
      <xsd:simpleType>
        <xsd:restriction base="dms:Note"/>
      </xsd:simpleType>
    </xsd:element>
    <xsd:element name="Oggetto" ma:index="21" nillable="true" ma:displayName="Oggetto" ma:hidden="true" ma:internalName="Oggetto" ma:readOnly="false">
      <xsd:simpleType>
        <xsd:restriction base="dms:Text">
          <xsd:maxLength value="255"/>
        </xsd:restriction>
      </xsd:simpleType>
    </xsd:element>
    <xsd:element name="Data_x0020_Approvazione_x0020_Direzione" ma:index="22" nillable="true" ma:displayName="Data Approvazione II livello" ma:format="DateOnly" ma:hidden="true" ma:internalName="Data_x0020_Approvazione_x0020_Direzione" ma:readOnly="false">
      <xsd:simpleType>
        <xsd:restriction base="dms:DateTime"/>
      </xsd:simpleType>
    </xsd:element>
    <xsd:element name="Approvatore_x0020_II_x0020_livello" ma:index="23" nillable="true" ma:displayName="Approvazione II livello di" ma:hidden="true" ma:list="UserInfo" ma:SharePointGroup="0" ma:internalName="Approvatore_x0020_II_x0020_livello"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3"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01b547-e4e8-474c-b1a6-851fe388f69e" elementFormDefault="qualified">
    <xsd:import namespace="http://schemas.microsoft.com/office/2006/documentManagement/types"/>
    <xsd:import namespace="http://schemas.microsoft.com/office/infopath/2007/PartnerControls"/>
    <xsd:element name="Resp_x0020_Approvazione" ma:index="16" nillable="true" ma:displayName="Approvazione I livello di" ma:hidden="true" ma:list="UserInfo" ma:SharePointGroup="0" ma:internalName="Resp_x0020_Approvazione"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ata_x0020_Approvazione" ma:index="17" nillable="true" ma:displayName="Data Approvazione I livello" ma:format="DateOnly" ma:hidden="true" ma:internalName="Data_x0020_Approvazione" ma:readOnly="false">
      <xsd:simpleType>
        <xsd:restriction base="dms:DateTime"/>
      </xsd:simpleType>
    </xsd:element>
    <xsd:element name="Numero" ma:index="18" nillable="true" ma:displayName="Numero Circolare" ma:description="Campo riservato alla segreteria." ma:hidden="true" ma:internalName="Numero" ma:readOnly="false">
      <xsd:simpleType>
        <xsd:restriction base="dms:Number"/>
      </xsd:simpleType>
    </xsd:element>
    <xsd:element name="Esito_x0020_Approvazione_x0020_Resp" ma:index="19" nillable="true" ma:displayName="Esito Approvazione I livello" ma:format="Dropdown" ma:hidden="true" ma:internalName="Esito_x0020_Approvazione_x0020_Resp" ma:readOnly="false">
      <xsd:simpleType>
        <xsd:restriction base="dms:Choice">
          <xsd:enumeration value="In attesa di approvazione"/>
          <xsd:enumeration value="Approvata"/>
          <xsd:enumeration value="Da Modificare"/>
        </xsd:restriction>
      </xsd:simpleType>
    </xsd:element>
    <xsd:element name="Note_x0020_Responsabile" ma:index="20" nillable="true" ma:displayName="Note Approvazione I livello" ma:hidden="true" ma:internalName="Note_x0020_Responsabile"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5d6bd3-7c05-4de2-9a3a-2df53d797d57" elementFormDefault="qualified">
    <xsd:import namespace="http://schemas.microsoft.com/office/2006/documentManagement/types"/>
    <xsd:import namespace="http://schemas.microsoft.com/office/infopath/2007/PartnerControls"/>
    <xsd:element name="Esito_x0020_Approvazione_x0020_Direzione" ma:index="24" nillable="true" ma:displayName="Esito Approvazione II livello" ma:format="Dropdown" ma:hidden="true" ma:internalName="Esito_x0020_Approvazione_x0020_Direzione" ma:readOnly="false">
      <xsd:simpleType>
        <xsd:restriction base="dms:Choice">
          <xsd:enumeration value="In attesa di approvazione"/>
          <xsd:enumeration value="Approvata"/>
          <xsd:enumeration value="Da Modificare"/>
        </xsd:restriction>
      </xsd:simpleType>
    </xsd:element>
    <xsd:element name="Richiedente_x0020_App_x0020_Resp" ma:index="25" nillable="true" ma:displayName="Richiedente App Resp" ma:hidden="true" ma:list="UserInfo" ma:SharePointGroup="0" ma:internalName="Richiedente_x0020_App_x0020_Resp"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Note_x0020_Approvazione_x0020_Direzione" ma:index="26" nillable="true" ma:displayName="Note Approvazione II livello" ma:hidden="true" ma:internalName="Note_x0020_Approvazione_x0020_Direzione"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ListId:Circ;" elementFormDefault="qualified">
    <xsd:import namespace="http://schemas.microsoft.com/office/2006/documentManagement/types"/>
    <xsd:import namespace="http://schemas.microsoft.com/office/infopath/2007/PartnerControls"/>
    <xsd:element name="Num_x0020_Protocollo" ma:index="27" nillable="true" ma:displayName="Numero Protocollo" ma:description="Campo riservato alla segreteria." ma:hidden="true" ma:internalName="Num_x0020_Protocollo" ma:readOnly="false">
      <xsd:simpleType>
        <xsd:restriction base="dms:Number"/>
      </xsd:simpleType>
    </xsd:element>
    <xsd:element name="Anteprima_x0020_News" ma:index="28" nillable="true" ma:displayName="Anteprima" ma:hidden="true" ma:internalName="Anteprima_x0020_News" ma:readOnly="false">
      <xsd:simpleType>
        <xsd:restriction base="dms:Note"/>
      </xsd:simpleType>
    </xsd:element>
    <xsd:element name="Pubblicato" ma:index="34" nillable="true" ma:displayName="Pubblicato" ma:default="0" ma:description="Campo riservato alla segreteria.&#10;Selezionare tale campo se la circolare deve essere pubblicata sul sito web. &#10;Indicare anche la data/ora di pubblicazione." ma:internalName="Pubblicato">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1" ma:displayName="Tipo di contenuto"/>
        <xsd:element ref="dc:title" minOccurs="0" maxOccurs="1" ma:index="1"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dlc_DocId xmlns="dd2003e8-ee4e-4182-9e66-4c90256c9f25">FEDERALB-233-39332</_dlc_DocId>
    <_dlc_DocIdUrl xmlns="dd2003e8-ee4e-4182-9e66-4c90256c9f25">
      <Url>https://intranet.federalberghi.it/pubblicazioni/_layouts/15/DocIdRedir.aspx?ID=FEDERALB-233-39332</Url>
      <Description>FEDERALB-233-39332</Description>
    </_dlc_DocIdUrl>
    <Note_x0020_Approvazione_x0020_Direzione xmlns="3c5d6bd3-7c05-4de2-9a3a-2df53d797d57" xsi:nil="true"/>
    <Anteprima_x0020_News xmlns="$ListId:Circ;" xsi:nil="true"/>
    <Descrizione_x0020_estesa xmlns="2d2ac0f6-f1ba-42ac-bc6d-2dec6b81bd22" xsi:nil="true"/>
    <Responsabile_x0020_Reparto xmlns="e00d372c-24fe-4ce0-803c-b6187f4ec46c">
      <UserInfo>
        <DisplayName/>
        <AccountId xsi:nil="true"/>
        <AccountType/>
      </UserInfo>
    </Responsabile_x0020_Reparto>
    <Numero xmlns="3f01b547-e4e8-474c-b1a6-851fe388f69e" xsi:nil="true"/>
    <Approvata xmlns="e00d372c-24fe-4ce0-803c-b6187f4ec46c">false</Approvata>
    <Richiedente_x0020_App_x0020_Resp xmlns="3c5d6bd3-7c05-4de2-9a3a-2df53d797d57">
      <UserInfo>
        <DisplayName/>
        <AccountId xsi:nil="true"/>
        <AccountType/>
      </UserInfo>
    </Richiedente_x0020_App_x0020_Resp>
    <IconOverlay xmlns="http://schemas.microsoft.com/sharepoint/v4" xsi:nil="true"/>
    <Descrizione_x0020_breve xmlns="2d2ac0f6-f1ba-42ac-bc6d-2dec6b81bd22" xsi:nil="true"/>
    <Oggetto xmlns="2d2ac0f6-f1ba-42ac-bc6d-2dec6b81bd22" xsi:nil="true"/>
    <Data_x0020_Approvazione_x0020_Direzione xmlns="2d2ac0f6-f1ba-42ac-bc6d-2dec6b81bd22" xsi:nil="true"/>
    <Esito_x0020_Approvazione_x0020_Resp xmlns="3f01b547-e4e8-474c-b1a6-851fe388f69e" xsi:nil="true"/>
    <Num_x0020_Protocollo xmlns="$ListId:Circ;" xsi:nil="true"/>
    <Approvatore_x0020_II_x0020_livello xmlns="2d2ac0f6-f1ba-42ac-bc6d-2dec6b81bd22">
      <UserInfo>
        <DisplayName/>
        <AccountId xsi:nil="true"/>
        <AccountType/>
      </UserInfo>
    </Approvatore_x0020_II_x0020_livello>
    <TaxCatchAll xmlns="dd2003e8-ee4e-4182-9e66-4c90256c9f25"/>
    <Pagina xmlns="e00d372c-24fe-4ce0-803c-b6187f4ec46c" xsi:nil="true"/>
    <Tipo_x0020_File xmlns="e00d372c-24fe-4ce0-803c-b6187f4ec46c">Documento</Tipo_x0020_File>
    <Esito_x0020_Approvazione_x0020_Direzione xmlns="3c5d6bd3-7c05-4de2-9a3a-2df53d797d57" xsi:nil="true"/>
    <Pubblicato xmlns="$ListId:Circ;">false</Pubblicato>
    <Resp_x0020_Approvazione xmlns="3f01b547-e4e8-474c-b1a6-851fe388f69e">
      <UserInfo>
        <DisplayName/>
        <AccountId xsi:nil="true"/>
        <AccountType/>
      </UserInfo>
    </Resp_x0020_Approvazione>
    <Data_x0020_Approvazione xmlns="3f01b547-e4e8-474c-b1a6-851fe388f69e" xsi:nil="true"/>
    <Note_x0020_Responsabile xmlns="3f01b547-e4e8-474c-b1a6-851fe388f69e" xsi:nil="true"/>
  </documentManagement>
</p:properties>
</file>

<file path=customXml/itemProps1.xml><?xml version="1.0" encoding="utf-8"?>
<ds:datastoreItem xmlns:ds="http://schemas.openxmlformats.org/officeDocument/2006/customXml" ds:itemID="{92D26932-0519-46D1-AA2A-83EB7D0C0CA2}">
  <ds:schemaRefs>
    <ds:schemaRef ds:uri="http://schemas.microsoft.com/sharepoint/v3/contenttype/forms"/>
  </ds:schemaRefs>
</ds:datastoreItem>
</file>

<file path=customXml/itemProps2.xml><?xml version="1.0" encoding="utf-8"?>
<ds:datastoreItem xmlns:ds="http://schemas.openxmlformats.org/officeDocument/2006/customXml" ds:itemID="{26BD4E88-EE90-4421-8412-7BAC8BCD85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0d372c-24fe-4ce0-803c-b6187f4ec46c"/>
    <ds:schemaRef ds:uri="dd2003e8-ee4e-4182-9e66-4c90256c9f25"/>
    <ds:schemaRef ds:uri="2d2ac0f6-f1ba-42ac-bc6d-2dec6b81bd22"/>
    <ds:schemaRef ds:uri="http://schemas.microsoft.com/sharepoint/v4"/>
    <ds:schemaRef ds:uri="3f01b547-e4e8-474c-b1a6-851fe388f69e"/>
    <ds:schemaRef ds:uri="3c5d6bd3-7c05-4de2-9a3a-2df53d797d57"/>
    <ds:schemaRef ds:uri="$ListId:Cir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50F9B7-3448-424D-9170-E5495E917DC6}">
  <ds:schemaRefs>
    <ds:schemaRef ds:uri="http://schemas.microsoft.com/sharepoint/events"/>
  </ds:schemaRefs>
</ds:datastoreItem>
</file>

<file path=customXml/itemProps4.xml><?xml version="1.0" encoding="utf-8"?>
<ds:datastoreItem xmlns:ds="http://schemas.openxmlformats.org/officeDocument/2006/customXml" ds:itemID="{1D7C85E4-6A30-4A3D-86BE-040F7337F8E8}">
  <ds:schemaRefs>
    <ds:schemaRef ds:uri="http://schemas.openxmlformats.org/officeDocument/2006/bibliography"/>
  </ds:schemaRefs>
</ds:datastoreItem>
</file>

<file path=customXml/itemProps5.xml><?xml version="1.0" encoding="utf-8"?>
<ds:datastoreItem xmlns:ds="http://schemas.openxmlformats.org/officeDocument/2006/customXml" ds:itemID="{D78F785B-C402-49BC-8DC0-8EA69B6FCD66}">
  <ds:schemaRefs>
    <ds:schemaRef ds:uri="http://schemas.microsoft.com/office/2006/metadata/properties"/>
    <ds:schemaRef ds:uri="http://schemas.microsoft.com/office/infopath/2007/PartnerControls"/>
    <ds:schemaRef ds:uri="dd2003e8-ee4e-4182-9e66-4c90256c9f25"/>
    <ds:schemaRef ds:uri="3c5d6bd3-7c05-4de2-9a3a-2df53d797d57"/>
    <ds:schemaRef ds:uri="$ListId:Circ;"/>
    <ds:schemaRef ds:uri="2d2ac0f6-f1ba-42ac-bc6d-2dec6b81bd22"/>
    <ds:schemaRef ds:uri="e00d372c-24fe-4ce0-803c-b6187f4ec46c"/>
    <ds:schemaRef ds:uri="3f01b547-e4e8-474c-b1a6-851fe388f69e"/>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845</Words>
  <Characters>4818</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contratti a termine stagionali - limite proroghe - esclusione - sentenza.docx</vt:lpstr>
    </vt:vector>
  </TitlesOfParts>
  <Company/>
  <LinksUpToDate>false</LinksUpToDate>
  <CharactersWithSpaces>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contratti a termine stagionali - limite proroghe - esclusione - sentenza.docx</dc:title>
  <dc:subject/>
  <dc:creator>Loredana Malanotte</dc:creator>
  <cp:keywords/>
  <dc:description/>
  <cp:lastModifiedBy>Cristina Rezzi</cp:lastModifiedBy>
  <cp:revision>11</cp:revision>
  <cp:lastPrinted>2020-11-06T15:03:00Z</cp:lastPrinted>
  <dcterms:created xsi:type="dcterms:W3CDTF">2026-01-20T09:53:00Z</dcterms:created>
  <dcterms:modified xsi:type="dcterms:W3CDTF">2026-05-08T09:15:00Z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0x010100B9C1C9B42315A743854A916ED404DEC6</vt:lpwstr>
  </property>
  <property fmtid="{D5CDD505-2E9C-101B-9397-08002B2CF9AE}" pid="3" name="_dlc_policyId">
    <vt:lpwstr/>
  </property>
  <property fmtid="{D5CDD505-2E9C-101B-9397-08002B2CF9AE}" pid="4" name="ItemRetentionFormula">
    <vt:lpwstr/>
  </property>
  <property fmtid="{D5CDD505-2E9C-101B-9397-08002B2CF9AE}" pid="5" name="_dlc_DocIdItemGuid">
    <vt:lpwstr>b0436eaa-a270-4379-a212-d8e12d1432a3</vt:lpwstr>
  </property>
</Properties>
</file>